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ED" w:rsidRPr="00EF1841" w:rsidRDefault="00C133ED" w:rsidP="00EF1841">
      <w:pPr>
        <w:pStyle w:val="Text"/>
        <w:spacing w:line="360" w:lineRule="exact"/>
        <w:rPr>
          <w:rFonts w:ascii="Times New Roman" w:hAnsi="Times New Roman"/>
        </w:rPr>
      </w:pPr>
      <w:bookmarkStart w:id="0" w:name="_GoBack"/>
      <w:bookmarkEnd w:id="0"/>
    </w:p>
    <w:p w:rsidR="00C133ED" w:rsidRDefault="00C133ED" w:rsidP="00EF1841">
      <w:pPr>
        <w:pStyle w:val="Text"/>
        <w:spacing w:line="360" w:lineRule="exact"/>
        <w:rPr>
          <w:rFonts w:ascii="Times New Roman" w:hAnsi="Times New Roman"/>
        </w:rPr>
      </w:pPr>
    </w:p>
    <w:p w:rsidR="00EF1841" w:rsidRPr="00EF1841" w:rsidRDefault="00EF1841" w:rsidP="00EF1841">
      <w:pPr>
        <w:pStyle w:val="Text"/>
        <w:spacing w:line="360" w:lineRule="exact"/>
        <w:rPr>
          <w:rFonts w:ascii="Times New Roman" w:hAnsi="Times New Roman"/>
        </w:rPr>
      </w:pPr>
    </w:p>
    <w:p w:rsidR="00C133ED" w:rsidRPr="00EF1841" w:rsidRDefault="00C133ED" w:rsidP="00EF1841">
      <w:pPr>
        <w:spacing w:line="360" w:lineRule="exact"/>
        <w:rPr>
          <w:rFonts w:ascii="Times New Roman" w:hAnsi="Times New Roman"/>
          <w:sz w:val="24"/>
        </w:rPr>
      </w:pPr>
    </w:p>
    <w:p w:rsidR="00C133ED" w:rsidRPr="00EF1841" w:rsidRDefault="00C133ED" w:rsidP="00EF1841">
      <w:pPr>
        <w:spacing w:line="360" w:lineRule="exact"/>
        <w:rPr>
          <w:rFonts w:ascii="Times New Roman" w:hAnsi="Times New Roman"/>
          <w:sz w:val="24"/>
        </w:rPr>
      </w:pPr>
    </w:p>
    <w:p w:rsidR="00C133ED" w:rsidRPr="00EF1841" w:rsidRDefault="00E67EA3" w:rsidP="00EF1841">
      <w:pPr>
        <w:spacing w:line="360" w:lineRule="exact"/>
        <w:rPr>
          <w:rFonts w:ascii="Times New Roman" w:hAnsi="Times New Roman"/>
          <w:b/>
          <w:sz w:val="32"/>
        </w:rPr>
      </w:pPr>
      <w:r>
        <w:rPr>
          <w:rFonts w:ascii="Times New Roman" w:hAnsi="Times New Roman"/>
          <w:b/>
          <w:sz w:val="32"/>
        </w:rPr>
        <w:t>Definition und Messung von h</w:t>
      </w:r>
      <w:r w:rsidR="00B8155D" w:rsidRPr="00EF1841">
        <w:rPr>
          <w:rFonts w:ascii="Times New Roman" w:hAnsi="Times New Roman"/>
          <w:b/>
          <w:sz w:val="32"/>
        </w:rPr>
        <w:t>ybride</w:t>
      </w:r>
      <w:r>
        <w:rPr>
          <w:rFonts w:ascii="Times New Roman" w:hAnsi="Times New Roman"/>
          <w:b/>
          <w:sz w:val="32"/>
        </w:rPr>
        <w:t>r</w:t>
      </w:r>
      <w:r w:rsidR="00B8155D" w:rsidRPr="00EF1841">
        <w:rPr>
          <w:rFonts w:ascii="Times New Roman" w:hAnsi="Times New Roman"/>
          <w:b/>
          <w:sz w:val="32"/>
        </w:rPr>
        <w:t xml:space="preserve"> Wertschöpfung</w:t>
      </w:r>
    </w:p>
    <w:p w:rsidR="00C133ED" w:rsidRPr="00EF1841" w:rsidRDefault="00C133ED" w:rsidP="00EF1841">
      <w:pPr>
        <w:spacing w:line="360" w:lineRule="exact"/>
        <w:rPr>
          <w:rFonts w:ascii="Times New Roman" w:hAnsi="Times New Roman"/>
          <w:sz w:val="24"/>
        </w:rPr>
      </w:pPr>
    </w:p>
    <w:p w:rsidR="00C133ED" w:rsidRPr="00EF1841" w:rsidRDefault="00EF1841" w:rsidP="00EF1841">
      <w:pPr>
        <w:pStyle w:val="berschrift2"/>
        <w:spacing w:before="0" w:line="360" w:lineRule="exact"/>
        <w:rPr>
          <w:rFonts w:ascii="Times New Roman" w:hAnsi="Times New Roman"/>
          <w:b w:val="0"/>
        </w:rPr>
      </w:pPr>
      <w:r>
        <w:rPr>
          <w:rFonts w:ascii="Times New Roman" w:hAnsi="Times New Roman"/>
          <w:b w:val="0"/>
        </w:rPr>
        <w:t>Hanno Kempermann /</w:t>
      </w:r>
      <w:r w:rsidR="00007591" w:rsidRPr="00EF1841">
        <w:rPr>
          <w:rFonts w:ascii="Times New Roman" w:hAnsi="Times New Roman"/>
          <w:b w:val="0"/>
        </w:rPr>
        <w:t xml:space="preserve"> </w:t>
      </w:r>
      <w:r w:rsidR="007D6D5C" w:rsidRPr="00EF1841">
        <w:rPr>
          <w:rFonts w:ascii="Times New Roman" w:hAnsi="Times New Roman"/>
          <w:b w:val="0"/>
        </w:rPr>
        <w:t xml:space="preserve">Karl Lichtblau, </w:t>
      </w:r>
      <w:r w:rsidR="00E67EA3">
        <w:rPr>
          <w:rFonts w:ascii="Times New Roman" w:hAnsi="Times New Roman"/>
          <w:b w:val="0"/>
        </w:rPr>
        <w:t>Februar</w:t>
      </w:r>
      <w:r>
        <w:rPr>
          <w:rFonts w:ascii="Times New Roman" w:hAnsi="Times New Roman"/>
          <w:b w:val="0"/>
        </w:rPr>
        <w:t xml:space="preserve"> 2012</w:t>
      </w:r>
    </w:p>
    <w:p w:rsidR="00C133ED" w:rsidRPr="00EF1841" w:rsidRDefault="00C133ED" w:rsidP="00EF1841">
      <w:pPr>
        <w:pStyle w:val="Text"/>
        <w:spacing w:line="360" w:lineRule="exact"/>
        <w:rPr>
          <w:rFonts w:ascii="Times New Roman" w:hAnsi="Times New Roman"/>
        </w:rPr>
      </w:pPr>
    </w:p>
    <w:p w:rsidR="0025108E" w:rsidRDefault="00007591" w:rsidP="00EF1841">
      <w:pPr>
        <w:jc w:val="both"/>
        <w:rPr>
          <w:rFonts w:ascii="Times New Roman" w:hAnsi="Times New Roman"/>
          <w:b/>
          <w:sz w:val="24"/>
        </w:rPr>
      </w:pPr>
      <w:r w:rsidRPr="00EF1841">
        <w:rPr>
          <w:rFonts w:ascii="Times New Roman" w:hAnsi="Times New Roman"/>
          <w:b/>
          <w:sz w:val="24"/>
        </w:rPr>
        <w:t xml:space="preserve">Hybride Geschäftsmodelle sind erfolgreich. Unternehmen, die </w:t>
      </w:r>
      <w:r w:rsidR="007956ED">
        <w:rPr>
          <w:rFonts w:ascii="Times New Roman" w:hAnsi="Times New Roman"/>
          <w:b/>
          <w:sz w:val="24"/>
        </w:rPr>
        <w:t>Bündel aus Industri</w:t>
      </w:r>
      <w:r w:rsidR="007956ED">
        <w:rPr>
          <w:rFonts w:ascii="Times New Roman" w:hAnsi="Times New Roman"/>
          <w:b/>
          <w:sz w:val="24"/>
        </w:rPr>
        <w:t>e</w:t>
      </w:r>
      <w:r w:rsidR="007956ED">
        <w:rPr>
          <w:rFonts w:ascii="Times New Roman" w:hAnsi="Times New Roman"/>
          <w:b/>
          <w:sz w:val="24"/>
        </w:rPr>
        <w:t>waren und Dienstleistungen</w:t>
      </w:r>
      <w:r w:rsidRPr="00EF1841">
        <w:rPr>
          <w:rFonts w:ascii="Times New Roman" w:hAnsi="Times New Roman"/>
          <w:b/>
          <w:sz w:val="24"/>
        </w:rPr>
        <w:t xml:space="preserve"> als Problemlösung anbieten, haben eine hohe Aussta</w:t>
      </w:r>
      <w:r w:rsidRPr="00EF1841">
        <w:rPr>
          <w:rFonts w:ascii="Times New Roman" w:hAnsi="Times New Roman"/>
          <w:b/>
          <w:sz w:val="24"/>
        </w:rPr>
        <w:t>t</w:t>
      </w:r>
      <w:r w:rsidRPr="00EF1841">
        <w:rPr>
          <w:rFonts w:ascii="Times New Roman" w:hAnsi="Times New Roman"/>
          <w:b/>
          <w:sz w:val="24"/>
        </w:rPr>
        <w:t>tung mit Erfolgsfaktoren und erzielen eine bessere Umsatz- und Beschäftigungsen</w:t>
      </w:r>
      <w:r w:rsidRPr="00EF1841">
        <w:rPr>
          <w:rFonts w:ascii="Times New Roman" w:hAnsi="Times New Roman"/>
          <w:b/>
          <w:sz w:val="24"/>
        </w:rPr>
        <w:t>t</w:t>
      </w:r>
      <w:r w:rsidRPr="00EF1841">
        <w:rPr>
          <w:rFonts w:ascii="Times New Roman" w:hAnsi="Times New Roman"/>
          <w:b/>
          <w:sz w:val="24"/>
        </w:rPr>
        <w:t>wicklung als der Durchschnitt deutscher Unternehmen. Gleichwohl sind hybride Modell</w:t>
      </w:r>
      <w:r w:rsidR="007956ED">
        <w:rPr>
          <w:rFonts w:ascii="Times New Roman" w:hAnsi="Times New Roman"/>
          <w:b/>
          <w:sz w:val="24"/>
        </w:rPr>
        <w:t>e noch nicht weit verbreitet. E</w:t>
      </w:r>
      <w:r w:rsidRPr="00EF1841">
        <w:rPr>
          <w:rFonts w:ascii="Times New Roman" w:hAnsi="Times New Roman"/>
          <w:b/>
          <w:sz w:val="24"/>
        </w:rPr>
        <w:t xml:space="preserve">rst 16 Prozent aller Unternehmen </w:t>
      </w:r>
      <w:r w:rsidR="001E0768" w:rsidRPr="00EF1841">
        <w:rPr>
          <w:rFonts w:ascii="Times New Roman" w:hAnsi="Times New Roman"/>
          <w:b/>
          <w:sz w:val="24"/>
        </w:rPr>
        <w:t xml:space="preserve">haben </w:t>
      </w:r>
      <w:r w:rsidR="00FF0A15">
        <w:rPr>
          <w:rFonts w:ascii="Times New Roman" w:hAnsi="Times New Roman"/>
          <w:b/>
          <w:sz w:val="24"/>
        </w:rPr>
        <w:br/>
      </w:r>
      <w:r w:rsidR="001E0768" w:rsidRPr="00EF1841">
        <w:rPr>
          <w:rFonts w:ascii="Times New Roman" w:hAnsi="Times New Roman"/>
          <w:b/>
          <w:sz w:val="24"/>
        </w:rPr>
        <w:t>Hybridcharakter. Dies liegt auch an den Hemmnissen, denen hybride Unternehmen ausgesetzt sind. Die Unternehmen müssen mehr Ressourcen einsetzen und ein höh</w:t>
      </w:r>
      <w:r w:rsidR="001E0768" w:rsidRPr="00EF1841">
        <w:rPr>
          <w:rFonts w:ascii="Times New Roman" w:hAnsi="Times New Roman"/>
          <w:b/>
          <w:sz w:val="24"/>
        </w:rPr>
        <w:t>e</w:t>
      </w:r>
      <w:r w:rsidR="001E0768" w:rsidRPr="00EF1841">
        <w:rPr>
          <w:rFonts w:ascii="Times New Roman" w:hAnsi="Times New Roman"/>
          <w:b/>
          <w:sz w:val="24"/>
        </w:rPr>
        <w:t>res Komplexitäts</w:t>
      </w:r>
      <w:r w:rsidR="007956ED">
        <w:rPr>
          <w:rFonts w:ascii="Times New Roman" w:hAnsi="Times New Roman"/>
          <w:b/>
          <w:sz w:val="24"/>
        </w:rPr>
        <w:t>niveau</w:t>
      </w:r>
      <w:r w:rsidR="001E0768" w:rsidRPr="00EF1841">
        <w:rPr>
          <w:rFonts w:ascii="Times New Roman" w:hAnsi="Times New Roman"/>
          <w:b/>
          <w:sz w:val="24"/>
        </w:rPr>
        <w:t xml:space="preserve"> beherrschen. </w:t>
      </w:r>
      <w:r w:rsidR="00D0489A" w:rsidRPr="00EF1841">
        <w:rPr>
          <w:rFonts w:ascii="Times New Roman" w:hAnsi="Times New Roman"/>
          <w:b/>
          <w:sz w:val="24"/>
        </w:rPr>
        <w:t xml:space="preserve">Dennoch überwiegen </w:t>
      </w:r>
      <w:r w:rsidR="00C47657" w:rsidRPr="00EF1841">
        <w:rPr>
          <w:rFonts w:ascii="Times New Roman" w:hAnsi="Times New Roman"/>
          <w:b/>
          <w:sz w:val="24"/>
        </w:rPr>
        <w:t>die Vorteile</w:t>
      </w:r>
      <w:r w:rsidR="007956ED">
        <w:rPr>
          <w:rFonts w:ascii="Times New Roman" w:hAnsi="Times New Roman"/>
          <w:b/>
          <w:sz w:val="24"/>
        </w:rPr>
        <w:t xml:space="preserve"> im Urteil der Unternehmen</w:t>
      </w:r>
      <w:r w:rsidR="00C47657" w:rsidRPr="00EF1841">
        <w:rPr>
          <w:rFonts w:ascii="Times New Roman" w:hAnsi="Times New Roman"/>
          <w:b/>
          <w:sz w:val="24"/>
        </w:rPr>
        <w:t xml:space="preserve">. </w:t>
      </w:r>
      <w:r w:rsidR="00D0489A" w:rsidRPr="00EF1841">
        <w:rPr>
          <w:rFonts w:ascii="Times New Roman" w:hAnsi="Times New Roman"/>
          <w:b/>
          <w:sz w:val="24"/>
        </w:rPr>
        <w:t xml:space="preserve">In fünf Jahren soll </w:t>
      </w:r>
      <w:r w:rsidR="00C47657" w:rsidRPr="00EF1841">
        <w:rPr>
          <w:rFonts w:ascii="Times New Roman" w:hAnsi="Times New Roman"/>
          <w:b/>
          <w:sz w:val="24"/>
        </w:rPr>
        <w:t>dementsprechend</w:t>
      </w:r>
      <w:r w:rsidR="00D0489A" w:rsidRPr="00EF1841">
        <w:rPr>
          <w:rFonts w:ascii="Times New Roman" w:hAnsi="Times New Roman"/>
          <w:b/>
          <w:sz w:val="24"/>
        </w:rPr>
        <w:t xml:space="preserve"> ein Fünftel aller Unternehmen </w:t>
      </w:r>
      <w:r w:rsidR="007956ED">
        <w:rPr>
          <w:rFonts w:ascii="Times New Roman" w:hAnsi="Times New Roman"/>
          <w:b/>
          <w:sz w:val="24"/>
        </w:rPr>
        <w:t xml:space="preserve">in Deutschland </w:t>
      </w:r>
      <w:r w:rsidR="00F32593" w:rsidRPr="00EF1841">
        <w:rPr>
          <w:rFonts w:ascii="Times New Roman" w:hAnsi="Times New Roman"/>
          <w:b/>
          <w:sz w:val="24"/>
        </w:rPr>
        <w:t>hybride Geschäftsmodelle verfolg</w:t>
      </w:r>
      <w:r w:rsidR="00D0489A" w:rsidRPr="00EF1841">
        <w:rPr>
          <w:rFonts w:ascii="Times New Roman" w:hAnsi="Times New Roman"/>
          <w:b/>
          <w:sz w:val="24"/>
        </w:rPr>
        <w:t>en</w:t>
      </w:r>
      <w:r w:rsidR="00F32593" w:rsidRPr="00EF1841">
        <w:rPr>
          <w:rFonts w:ascii="Times New Roman" w:hAnsi="Times New Roman"/>
          <w:b/>
          <w:sz w:val="24"/>
        </w:rPr>
        <w:t>.</w:t>
      </w:r>
    </w:p>
    <w:p w:rsidR="00EB4724" w:rsidRPr="00EF1841" w:rsidRDefault="00EB4724" w:rsidP="00EF1841">
      <w:pPr>
        <w:jc w:val="both"/>
        <w:rPr>
          <w:rFonts w:ascii="Times New Roman" w:hAnsi="Times New Roman"/>
          <w:b/>
          <w:sz w:val="24"/>
        </w:rPr>
      </w:pPr>
    </w:p>
    <w:p w:rsidR="00C133ED" w:rsidRPr="00EF1841" w:rsidRDefault="00E67EA3" w:rsidP="00EB4724">
      <w:pPr>
        <w:pStyle w:val="berschrift1"/>
        <w:spacing w:before="0" w:line="360" w:lineRule="exact"/>
        <w:rPr>
          <w:rFonts w:ascii="Times New Roman" w:hAnsi="Times New Roman"/>
          <w:sz w:val="28"/>
          <w:szCs w:val="28"/>
          <w:u w:val="none"/>
        </w:rPr>
      </w:pPr>
      <w:r>
        <w:rPr>
          <w:rFonts w:ascii="Times New Roman" w:hAnsi="Times New Roman"/>
          <w:sz w:val="28"/>
          <w:szCs w:val="28"/>
          <w:u w:val="none"/>
        </w:rPr>
        <w:t xml:space="preserve">Definition </w:t>
      </w:r>
      <w:r w:rsidR="00C5280E">
        <w:rPr>
          <w:rFonts w:ascii="Times New Roman" w:hAnsi="Times New Roman"/>
          <w:sz w:val="28"/>
          <w:szCs w:val="28"/>
          <w:u w:val="none"/>
        </w:rPr>
        <w:t>der hybriden</w:t>
      </w:r>
      <w:r>
        <w:rPr>
          <w:rFonts w:ascii="Times New Roman" w:hAnsi="Times New Roman"/>
          <w:sz w:val="28"/>
          <w:szCs w:val="28"/>
          <w:u w:val="none"/>
        </w:rPr>
        <w:t xml:space="preserve"> Wertschöpfung</w:t>
      </w:r>
    </w:p>
    <w:p w:rsidR="002A139E" w:rsidRDefault="00027184" w:rsidP="00EF1841">
      <w:pPr>
        <w:spacing w:line="360" w:lineRule="exact"/>
        <w:jc w:val="both"/>
        <w:rPr>
          <w:rFonts w:ascii="Times New Roman" w:hAnsi="Times New Roman"/>
          <w:sz w:val="24"/>
        </w:rPr>
      </w:pPr>
      <w:r w:rsidRPr="00EF1841">
        <w:rPr>
          <w:rFonts w:ascii="Times New Roman" w:hAnsi="Times New Roman"/>
          <w:sz w:val="24"/>
        </w:rPr>
        <w:t xml:space="preserve">Hybride Wertschöpfung bedeutet, dass </w:t>
      </w:r>
      <w:r w:rsidR="0069024F" w:rsidRPr="00EF1841">
        <w:rPr>
          <w:rFonts w:ascii="Times New Roman" w:hAnsi="Times New Roman"/>
          <w:sz w:val="24"/>
        </w:rPr>
        <w:t xml:space="preserve">Industriewaren und Dienstleistungen gebündelt von einem </w:t>
      </w:r>
      <w:r w:rsidR="00D0628B" w:rsidRPr="00EF1841">
        <w:rPr>
          <w:rFonts w:ascii="Times New Roman" w:hAnsi="Times New Roman"/>
          <w:sz w:val="24"/>
        </w:rPr>
        <w:t xml:space="preserve">oder mehreren </w:t>
      </w:r>
      <w:r w:rsidR="0069024F" w:rsidRPr="00EF1841">
        <w:rPr>
          <w:rFonts w:ascii="Times New Roman" w:hAnsi="Times New Roman"/>
          <w:sz w:val="24"/>
        </w:rPr>
        <w:t xml:space="preserve">Unternehmen </w:t>
      </w:r>
      <w:r w:rsidR="00D0628B" w:rsidRPr="00EF1841">
        <w:rPr>
          <w:rFonts w:ascii="Times New Roman" w:hAnsi="Times New Roman"/>
          <w:sz w:val="24"/>
        </w:rPr>
        <w:t xml:space="preserve">in Kooperation </w:t>
      </w:r>
      <w:r w:rsidR="0069024F" w:rsidRPr="00EF1841">
        <w:rPr>
          <w:rFonts w:ascii="Times New Roman" w:hAnsi="Times New Roman"/>
          <w:sz w:val="24"/>
        </w:rPr>
        <w:t>angeboten werden. Diese</w:t>
      </w:r>
      <w:r w:rsidRPr="00EF1841">
        <w:rPr>
          <w:rFonts w:ascii="Times New Roman" w:hAnsi="Times New Roman"/>
          <w:sz w:val="24"/>
        </w:rPr>
        <w:t xml:space="preserve"> Nutzenbü</w:t>
      </w:r>
      <w:r w:rsidRPr="00EF1841">
        <w:rPr>
          <w:rFonts w:ascii="Times New Roman" w:hAnsi="Times New Roman"/>
          <w:sz w:val="24"/>
        </w:rPr>
        <w:t>n</w:t>
      </w:r>
      <w:r w:rsidRPr="00EF1841">
        <w:rPr>
          <w:rFonts w:ascii="Times New Roman" w:hAnsi="Times New Roman"/>
          <w:sz w:val="24"/>
        </w:rPr>
        <w:t xml:space="preserve">del </w:t>
      </w:r>
      <w:r w:rsidR="00B97C1D" w:rsidRPr="00EF1841">
        <w:rPr>
          <w:rFonts w:ascii="Times New Roman" w:hAnsi="Times New Roman"/>
          <w:sz w:val="24"/>
        </w:rPr>
        <w:t>stell</w:t>
      </w:r>
      <w:r w:rsidR="000C578D" w:rsidRPr="00EF1841">
        <w:rPr>
          <w:rFonts w:ascii="Times New Roman" w:hAnsi="Times New Roman"/>
          <w:sz w:val="24"/>
        </w:rPr>
        <w:t>en</w:t>
      </w:r>
      <w:r w:rsidR="0069024F" w:rsidRPr="00EF1841">
        <w:rPr>
          <w:rFonts w:ascii="Times New Roman" w:hAnsi="Times New Roman"/>
          <w:sz w:val="24"/>
        </w:rPr>
        <w:t xml:space="preserve"> </w:t>
      </w:r>
      <w:r w:rsidRPr="00EF1841">
        <w:rPr>
          <w:rFonts w:ascii="Times New Roman" w:hAnsi="Times New Roman"/>
          <w:sz w:val="24"/>
        </w:rPr>
        <w:t xml:space="preserve">mehr als die Summe </w:t>
      </w:r>
      <w:r w:rsidR="000C578D" w:rsidRPr="00EF1841">
        <w:rPr>
          <w:rFonts w:ascii="Times New Roman" w:hAnsi="Times New Roman"/>
          <w:sz w:val="24"/>
        </w:rPr>
        <w:t>ihrer</w:t>
      </w:r>
      <w:r w:rsidRPr="00EF1841">
        <w:rPr>
          <w:rFonts w:ascii="Times New Roman" w:hAnsi="Times New Roman"/>
          <w:sz w:val="24"/>
        </w:rPr>
        <w:t xml:space="preserve"> Teile</w:t>
      </w:r>
      <w:r w:rsidR="00B97C1D" w:rsidRPr="00EF1841">
        <w:rPr>
          <w:rFonts w:ascii="Times New Roman" w:hAnsi="Times New Roman"/>
          <w:sz w:val="24"/>
        </w:rPr>
        <w:t xml:space="preserve"> dar</w:t>
      </w:r>
      <w:r w:rsidRPr="00EF1841">
        <w:rPr>
          <w:rFonts w:ascii="Times New Roman" w:hAnsi="Times New Roman"/>
          <w:sz w:val="24"/>
        </w:rPr>
        <w:t xml:space="preserve">. </w:t>
      </w:r>
      <w:r w:rsidR="005B553A">
        <w:rPr>
          <w:rFonts w:ascii="Times New Roman" w:hAnsi="Times New Roman"/>
          <w:sz w:val="24"/>
        </w:rPr>
        <w:t>Eine genaue</w:t>
      </w:r>
      <w:r w:rsidR="00CC5E27" w:rsidRPr="00EF1841">
        <w:rPr>
          <w:rFonts w:ascii="Times New Roman" w:hAnsi="Times New Roman"/>
          <w:sz w:val="24"/>
        </w:rPr>
        <w:t xml:space="preserve"> Beschreibung hybrider Täti</w:t>
      </w:r>
      <w:r w:rsidR="00CC5E27" w:rsidRPr="00EF1841">
        <w:rPr>
          <w:rFonts w:ascii="Times New Roman" w:hAnsi="Times New Roman"/>
          <w:sz w:val="24"/>
        </w:rPr>
        <w:t>g</w:t>
      </w:r>
      <w:r w:rsidR="00CC5E27" w:rsidRPr="00EF1841">
        <w:rPr>
          <w:rFonts w:ascii="Times New Roman" w:hAnsi="Times New Roman"/>
          <w:sz w:val="24"/>
        </w:rPr>
        <w:t xml:space="preserve">keiten fällt </w:t>
      </w:r>
      <w:r w:rsidR="0061255E">
        <w:rPr>
          <w:rFonts w:ascii="Times New Roman" w:hAnsi="Times New Roman"/>
          <w:sz w:val="24"/>
        </w:rPr>
        <w:t>indes</w:t>
      </w:r>
      <w:r w:rsidR="00CC5E27" w:rsidRPr="00EF1841">
        <w:rPr>
          <w:rFonts w:ascii="Times New Roman" w:hAnsi="Times New Roman"/>
          <w:sz w:val="24"/>
        </w:rPr>
        <w:t xml:space="preserve"> schwer</w:t>
      </w:r>
      <w:r w:rsidR="00E67EA3" w:rsidRPr="002303ED">
        <w:rPr>
          <w:rFonts w:ascii="Times New Roman" w:hAnsi="Times New Roman"/>
          <w:sz w:val="24"/>
          <w:shd w:val="clear" w:color="auto" w:fill="FFFFFF" w:themeFill="background1"/>
        </w:rPr>
        <w:t xml:space="preserve">. </w:t>
      </w:r>
      <w:r w:rsidR="002303ED" w:rsidRPr="002303ED">
        <w:rPr>
          <w:rFonts w:ascii="Times New Roman" w:hAnsi="Times New Roman"/>
          <w:sz w:val="24"/>
          <w:shd w:val="clear" w:color="auto" w:fill="FFFFFF" w:themeFill="background1"/>
        </w:rPr>
        <w:t>Auch deshalb sind breite empirische Erhebungen zu dem Thema spärlich.</w:t>
      </w:r>
      <w:r w:rsidR="002303ED" w:rsidRPr="002303ED">
        <w:rPr>
          <w:shd w:val="clear" w:color="auto" w:fill="FFFFFF" w:themeFill="background1"/>
        </w:rPr>
        <w:t xml:space="preserve"> </w:t>
      </w:r>
      <w:r w:rsidR="002303ED" w:rsidRPr="002303ED">
        <w:rPr>
          <w:rFonts w:ascii="Times New Roman" w:hAnsi="Times New Roman"/>
          <w:sz w:val="24"/>
          <w:shd w:val="clear" w:color="auto" w:fill="FFFFFF" w:themeFill="background1"/>
        </w:rPr>
        <w:t>Es werden eher Projekte auf Fallstudienbasis bearbeitet</w:t>
      </w:r>
      <w:r w:rsidR="00BE418D">
        <w:rPr>
          <w:rFonts w:ascii="Times New Roman" w:hAnsi="Times New Roman"/>
          <w:sz w:val="24"/>
          <w:shd w:val="clear" w:color="auto" w:fill="FFFFFF" w:themeFill="background1"/>
        </w:rPr>
        <w:t xml:space="preserve"> (Ahlert et al., 2008)</w:t>
      </w:r>
      <w:r w:rsidR="002303ED" w:rsidRPr="002303ED">
        <w:rPr>
          <w:rStyle w:val="Funotenzeichen"/>
          <w:rFonts w:ascii="Times New Roman" w:hAnsi="Times New Roman"/>
          <w:position w:val="0"/>
          <w:sz w:val="24"/>
          <w:shd w:val="clear" w:color="auto" w:fill="FFFFFF" w:themeFill="background1"/>
        </w:rPr>
        <w:t>.</w:t>
      </w:r>
      <w:r w:rsidR="002303ED" w:rsidRPr="002303ED">
        <w:rPr>
          <w:rFonts w:ascii="Times New Roman" w:hAnsi="Times New Roman"/>
          <w:sz w:val="24"/>
          <w:shd w:val="clear" w:color="auto" w:fill="FFFFFF" w:themeFill="background1"/>
        </w:rPr>
        <w:t xml:space="preserve"> D</w:t>
      </w:r>
      <w:r w:rsidR="002303ED" w:rsidRPr="002303ED">
        <w:rPr>
          <w:rFonts w:ascii="Times New Roman" w:hAnsi="Times New Roman"/>
          <w:sz w:val="24"/>
          <w:shd w:val="clear" w:color="auto" w:fill="FFFFFF" w:themeFill="background1"/>
        </w:rPr>
        <w:t>a</w:t>
      </w:r>
      <w:r w:rsidR="006A6E72">
        <w:rPr>
          <w:rFonts w:ascii="Times New Roman" w:hAnsi="Times New Roman"/>
          <w:sz w:val="24"/>
          <w:shd w:val="clear" w:color="auto" w:fill="FFFFFF" w:themeFill="background1"/>
        </w:rPr>
        <w:t xml:space="preserve">neben ist </w:t>
      </w:r>
      <w:r w:rsidR="002303ED" w:rsidRPr="002303ED">
        <w:rPr>
          <w:rFonts w:ascii="Times New Roman" w:hAnsi="Times New Roman"/>
          <w:sz w:val="24"/>
          <w:shd w:val="clear" w:color="auto" w:fill="FFFFFF" w:themeFill="background1"/>
        </w:rPr>
        <w:t xml:space="preserve">mittlerweile </w:t>
      </w:r>
      <w:r w:rsidR="006A6E72">
        <w:rPr>
          <w:rFonts w:ascii="Times New Roman" w:hAnsi="Times New Roman"/>
          <w:sz w:val="24"/>
          <w:shd w:val="clear" w:color="auto" w:fill="FFFFFF" w:themeFill="background1"/>
        </w:rPr>
        <w:t xml:space="preserve">eine </w:t>
      </w:r>
      <w:r w:rsidR="00BB0150">
        <w:rPr>
          <w:rFonts w:ascii="Times New Roman" w:hAnsi="Times New Roman"/>
          <w:sz w:val="24"/>
          <w:shd w:val="clear" w:color="auto" w:fill="FFFFFF" w:themeFill="background1"/>
        </w:rPr>
        <w:t>relativ breit gefächerte</w:t>
      </w:r>
      <w:r w:rsidR="002303ED" w:rsidRPr="002303ED">
        <w:rPr>
          <w:rFonts w:ascii="Times New Roman" w:hAnsi="Times New Roman"/>
          <w:sz w:val="24"/>
          <w:shd w:val="clear" w:color="auto" w:fill="FFFFFF" w:themeFill="background1"/>
        </w:rPr>
        <w:t xml:space="preserve"> Literatur zu konkreten Hybridleitfäden und der Beantwortung spezifischer Fragestellungen wie zu Erlösmodellen oder der Ve</w:t>
      </w:r>
      <w:r w:rsidR="002303ED" w:rsidRPr="002303ED">
        <w:rPr>
          <w:rFonts w:ascii="Times New Roman" w:hAnsi="Times New Roman"/>
          <w:sz w:val="24"/>
          <w:shd w:val="clear" w:color="auto" w:fill="FFFFFF" w:themeFill="background1"/>
        </w:rPr>
        <w:t>r</w:t>
      </w:r>
      <w:r w:rsidR="002303ED" w:rsidRPr="002303ED">
        <w:rPr>
          <w:rFonts w:ascii="Times New Roman" w:hAnsi="Times New Roman"/>
          <w:sz w:val="24"/>
          <w:shd w:val="clear" w:color="auto" w:fill="FFFFFF" w:themeFill="background1"/>
        </w:rPr>
        <w:t>tragsgestaltung verfügbar</w:t>
      </w:r>
      <w:r w:rsidR="00FF0A15">
        <w:rPr>
          <w:rFonts w:ascii="Times New Roman" w:hAnsi="Times New Roman"/>
          <w:sz w:val="24"/>
          <w:shd w:val="clear" w:color="auto" w:fill="FFFFFF" w:themeFill="background1"/>
        </w:rPr>
        <w:t xml:space="preserve"> (Burianek/Ihl/Reichwald</w:t>
      </w:r>
      <w:r w:rsidR="00BE418D">
        <w:rPr>
          <w:rFonts w:ascii="Times New Roman" w:hAnsi="Times New Roman"/>
          <w:sz w:val="24"/>
          <w:shd w:val="clear" w:color="auto" w:fill="FFFFFF" w:themeFill="background1"/>
        </w:rPr>
        <w:t>, 2007; Ganz/Bienzeisler, 2010)</w:t>
      </w:r>
      <w:r w:rsidR="002303ED" w:rsidRPr="002303ED">
        <w:rPr>
          <w:rFonts w:ascii="Times New Roman" w:hAnsi="Times New Roman"/>
          <w:sz w:val="24"/>
          <w:shd w:val="clear" w:color="auto" w:fill="FFFFFF" w:themeFill="background1"/>
        </w:rPr>
        <w:t>. Zudem wurde ein Meta-Projekt vom Bundesministerium für Bildung und Forschung</w:t>
      </w:r>
      <w:r w:rsidR="00BB0150">
        <w:rPr>
          <w:rFonts w:ascii="Times New Roman" w:hAnsi="Times New Roman"/>
          <w:sz w:val="24"/>
          <w:shd w:val="clear" w:color="auto" w:fill="FFFFFF" w:themeFill="background1"/>
        </w:rPr>
        <w:t xml:space="preserve"> (BMBF)</w:t>
      </w:r>
      <w:r w:rsidR="002303ED" w:rsidRPr="002303ED">
        <w:rPr>
          <w:rFonts w:ascii="Times New Roman" w:hAnsi="Times New Roman"/>
          <w:sz w:val="24"/>
          <w:shd w:val="clear" w:color="auto" w:fill="FFFFFF" w:themeFill="background1"/>
        </w:rPr>
        <w:t xml:space="preserve"> au</w:t>
      </w:r>
      <w:r w:rsidR="002303ED" w:rsidRPr="002303ED">
        <w:rPr>
          <w:rFonts w:ascii="Times New Roman" w:hAnsi="Times New Roman"/>
          <w:sz w:val="24"/>
          <w:shd w:val="clear" w:color="auto" w:fill="FFFFFF" w:themeFill="background1"/>
        </w:rPr>
        <w:t>f</w:t>
      </w:r>
      <w:r w:rsidR="002303ED" w:rsidRPr="002303ED">
        <w:rPr>
          <w:rFonts w:ascii="Times New Roman" w:hAnsi="Times New Roman"/>
          <w:sz w:val="24"/>
          <w:shd w:val="clear" w:color="auto" w:fill="FFFFFF" w:themeFill="background1"/>
        </w:rPr>
        <w:t>gesetzt, das umfassende Begleitarbeiten zu deren Förderschwerpunkt „Hybride Wertschö</w:t>
      </w:r>
      <w:r w:rsidR="002303ED" w:rsidRPr="002303ED">
        <w:rPr>
          <w:rFonts w:ascii="Times New Roman" w:hAnsi="Times New Roman"/>
          <w:sz w:val="24"/>
          <w:shd w:val="clear" w:color="auto" w:fill="FFFFFF" w:themeFill="background1"/>
        </w:rPr>
        <w:t>p</w:t>
      </w:r>
      <w:r w:rsidR="002303ED" w:rsidRPr="002303ED">
        <w:rPr>
          <w:rFonts w:ascii="Times New Roman" w:hAnsi="Times New Roman"/>
          <w:sz w:val="24"/>
          <w:shd w:val="clear" w:color="auto" w:fill="FFFFFF" w:themeFill="background1"/>
        </w:rPr>
        <w:t>fung“ leistet</w:t>
      </w:r>
      <w:r w:rsidR="00324E09">
        <w:rPr>
          <w:rFonts w:ascii="Times New Roman" w:hAnsi="Times New Roman"/>
          <w:sz w:val="24"/>
          <w:shd w:val="clear" w:color="auto" w:fill="FFFFFF" w:themeFill="background1"/>
        </w:rPr>
        <w:t xml:space="preserve"> </w:t>
      </w:r>
      <w:r w:rsidR="00645CE3">
        <w:rPr>
          <w:rFonts w:ascii="Times New Roman" w:hAnsi="Times New Roman"/>
          <w:sz w:val="24"/>
          <w:shd w:val="clear" w:color="auto" w:fill="FFFFFF" w:themeFill="background1"/>
        </w:rPr>
        <w:t>(Korte et al</w:t>
      </w:r>
      <w:r w:rsidR="002902A9">
        <w:rPr>
          <w:rFonts w:ascii="Times New Roman" w:hAnsi="Times New Roman"/>
          <w:sz w:val="24"/>
          <w:shd w:val="clear" w:color="auto" w:fill="FFFFFF" w:themeFill="background1"/>
        </w:rPr>
        <w:t>.</w:t>
      </w:r>
      <w:r w:rsidR="00645CE3">
        <w:rPr>
          <w:rFonts w:ascii="Times New Roman" w:hAnsi="Times New Roman"/>
          <w:sz w:val="24"/>
          <w:shd w:val="clear" w:color="auto" w:fill="FFFFFF" w:themeFill="background1"/>
        </w:rPr>
        <w:t>, 2010)</w:t>
      </w:r>
      <w:r w:rsidR="002303ED" w:rsidRPr="002303ED">
        <w:rPr>
          <w:rFonts w:ascii="Times New Roman" w:hAnsi="Times New Roman"/>
          <w:sz w:val="24"/>
          <w:shd w:val="clear" w:color="auto" w:fill="FFFFFF" w:themeFill="background1"/>
        </w:rPr>
        <w:t>.</w:t>
      </w:r>
      <w:r w:rsidR="00BE418D" w:rsidRPr="002303ED">
        <w:rPr>
          <w:rFonts w:ascii="Times New Roman" w:hAnsi="Times New Roman"/>
          <w:sz w:val="24"/>
          <w:shd w:val="clear" w:color="auto" w:fill="FFFFFF" w:themeFill="background1"/>
        </w:rPr>
        <w:t xml:space="preserve"> </w:t>
      </w:r>
      <w:r w:rsidR="00645CE3" w:rsidRPr="00645CE3">
        <w:rPr>
          <w:rFonts w:ascii="Times New Roman" w:hAnsi="Times New Roman"/>
          <w:sz w:val="24"/>
        </w:rPr>
        <w:t>Die vorliegende Untersuchung konz</w:t>
      </w:r>
      <w:r w:rsidR="004B7DCD">
        <w:rPr>
          <w:rFonts w:ascii="Times New Roman" w:hAnsi="Times New Roman"/>
          <w:sz w:val="24"/>
        </w:rPr>
        <w:t>entriert sich aus di</w:t>
      </w:r>
      <w:r w:rsidR="004B7DCD">
        <w:rPr>
          <w:rFonts w:ascii="Times New Roman" w:hAnsi="Times New Roman"/>
          <w:sz w:val="24"/>
        </w:rPr>
        <w:t>e</w:t>
      </w:r>
      <w:r w:rsidR="004B7DCD">
        <w:rPr>
          <w:rFonts w:ascii="Times New Roman" w:hAnsi="Times New Roman"/>
          <w:sz w:val="24"/>
        </w:rPr>
        <w:t xml:space="preserve">sem Grund </w:t>
      </w:r>
      <w:r w:rsidR="00645CE3" w:rsidRPr="00645CE3">
        <w:rPr>
          <w:rFonts w:ascii="Times New Roman" w:hAnsi="Times New Roman"/>
          <w:sz w:val="24"/>
        </w:rPr>
        <w:t xml:space="preserve">auf die Auswertung einer </w:t>
      </w:r>
      <w:r w:rsidR="00BB0150">
        <w:rPr>
          <w:rFonts w:ascii="Times New Roman" w:hAnsi="Times New Roman"/>
          <w:sz w:val="24"/>
        </w:rPr>
        <w:t>speziell hierfür</w:t>
      </w:r>
      <w:r w:rsidR="00645CE3" w:rsidRPr="00645CE3">
        <w:rPr>
          <w:rFonts w:ascii="Times New Roman" w:hAnsi="Times New Roman"/>
          <w:sz w:val="24"/>
        </w:rPr>
        <w:t xml:space="preserve"> durchgeführten Befragung, die bisher offene Fragen wie zur Verbreitung oder zum Erfolg hybrider Wertschöpfungsmodelle b</w:t>
      </w:r>
      <w:r w:rsidR="00645CE3" w:rsidRPr="00645CE3">
        <w:rPr>
          <w:rFonts w:ascii="Times New Roman" w:hAnsi="Times New Roman"/>
          <w:sz w:val="24"/>
        </w:rPr>
        <w:t>e</w:t>
      </w:r>
      <w:r w:rsidR="00645CE3" w:rsidRPr="00645CE3">
        <w:rPr>
          <w:rFonts w:ascii="Times New Roman" w:hAnsi="Times New Roman"/>
          <w:sz w:val="24"/>
        </w:rPr>
        <w:t>antworten soll.</w:t>
      </w:r>
      <w:r w:rsidR="00016E18">
        <w:rPr>
          <w:rFonts w:ascii="Times New Roman" w:hAnsi="Times New Roman"/>
          <w:sz w:val="24"/>
        </w:rPr>
        <w:t xml:space="preserve"> In einer Vorstudie der IW Consult im Auftrag der Vereinigung der Bayer</w:t>
      </w:r>
      <w:r w:rsidR="00016E18">
        <w:rPr>
          <w:rFonts w:ascii="Times New Roman" w:hAnsi="Times New Roman"/>
          <w:sz w:val="24"/>
        </w:rPr>
        <w:t>i</w:t>
      </w:r>
      <w:r w:rsidR="00016E18">
        <w:rPr>
          <w:rFonts w:ascii="Times New Roman" w:hAnsi="Times New Roman"/>
          <w:sz w:val="24"/>
        </w:rPr>
        <w:t>schen Wirtschaft wurden insbesondere mit Fokus auf Bayern hybride Wertschöpfungsm</w:t>
      </w:r>
      <w:r w:rsidR="00016E18">
        <w:rPr>
          <w:rFonts w:ascii="Times New Roman" w:hAnsi="Times New Roman"/>
          <w:sz w:val="24"/>
        </w:rPr>
        <w:t>o</w:t>
      </w:r>
      <w:r w:rsidR="00016E18">
        <w:rPr>
          <w:rFonts w:ascii="Times New Roman" w:hAnsi="Times New Roman"/>
          <w:sz w:val="24"/>
        </w:rPr>
        <w:t>delle analysiert (vbw, 2011).</w:t>
      </w:r>
      <w:r w:rsidR="00645CE3">
        <w:rPr>
          <w:rFonts w:ascii="Times New Roman" w:hAnsi="Times New Roman"/>
          <w:sz w:val="24"/>
        </w:rPr>
        <w:t xml:space="preserve"> </w:t>
      </w:r>
      <w:r w:rsidR="002A139E" w:rsidRPr="002303ED">
        <w:rPr>
          <w:rFonts w:ascii="Times New Roman" w:hAnsi="Times New Roman"/>
          <w:sz w:val="24"/>
          <w:shd w:val="clear" w:color="auto" w:fill="FFFFFF" w:themeFill="background1"/>
        </w:rPr>
        <w:t>U</w:t>
      </w:r>
      <w:r w:rsidR="002A139E" w:rsidRPr="00EF1841">
        <w:rPr>
          <w:rFonts w:ascii="Times New Roman" w:hAnsi="Times New Roman"/>
          <w:sz w:val="24"/>
        </w:rPr>
        <w:t xml:space="preserve">m die Merkmale, Bedeutung und die Entwicklungschancen von hybrider Wertschöpfung analysieren zu können, sind klare Definitionen notwendig. Sie müssen an </w:t>
      </w:r>
      <w:r w:rsidR="007956ED">
        <w:rPr>
          <w:rFonts w:ascii="Times New Roman" w:hAnsi="Times New Roman"/>
          <w:sz w:val="24"/>
        </w:rPr>
        <w:t xml:space="preserve">den </w:t>
      </w:r>
      <w:r w:rsidR="002A139E" w:rsidRPr="00EF1841">
        <w:rPr>
          <w:rFonts w:ascii="Times New Roman" w:hAnsi="Times New Roman"/>
          <w:sz w:val="24"/>
        </w:rPr>
        <w:t>empirisch fassbaren Kriterien ansetzen, sonst bleiben theoretisch woh</w:t>
      </w:r>
      <w:r w:rsidR="002A139E" w:rsidRPr="00EF1841">
        <w:rPr>
          <w:rFonts w:ascii="Times New Roman" w:hAnsi="Times New Roman"/>
          <w:sz w:val="24"/>
        </w:rPr>
        <w:t>l</w:t>
      </w:r>
      <w:r w:rsidR="002A139E" w:rsidRPr="00EF1841">
        <w:rPr>
          <w:rFonts w:ascii="Times New Roman" w:hAnsi="Times New Roman"/>
          <w:sz w:val="24"/>
        </w:rPr>
        <w:lastRenderedPageBreak/>
        <w:t>begründete Hypothesen nicht überprüfbar</w:t>
      </w:r>
      <w:r w:rsidR="00E67EA3">
        <w:rPr>
          <w:rFonts w:ascii="Times New Roman" w:hAnsi="Times New Roman"/>
          <w:sz w:val="24"/>
        </w:rPr>
        <w:t xml:space="preserve"> und sie</w:t>
      </w:r>
      <w:r w:rsidR="002A139E" w:rsidRPr="00EF1841">
        <w:rPr>
          <w:rFonts w:ascii="Times New Roman" w:hAnsi="Times New Roman"/>
          <w:sz w:val="24"/>
        </w:rPr>
        <w:t xml:space="preserve"> wären auch wirtsc</w:t>
      </w:r>
      <w:r w:rsidR="00D070CC">
        <w:rPr>
          <w:rFonts w:ascii="Times New Roman" w:hAnsi="Times New Roman"/>
          <w:sz w:val="24"/>
        </w:rPr>
        <w:t>haftspolitisch wenig hilfreich.</w:t>
      </w:r>
    </w:p>
    <w:p w:rsidR="00B56956" w:rsidRPr="00EF1841" w:rsidRDefault="00B56956" w:rsidP="00EF1841">
      <w:pPr>
        <w:spacing w:line="360" w:lineRule="exact"/>
        <w:jc w:val="both"/>
        <w:rPr>
          <w:rFonts w:ascii="Times New Roman" w:hAnsi="Times New Roman"/>
          <w:sz w:val="24"/>
        </w:rPr>
      </w:pPr>
    </w:p>
    <w:p w:rsidR="00D0628B" w:rsidRDefault="002A139E" w:rsidP="00EF1841">
      <w:pPr>
        <w:spacing w:line="360" w:lineRule="exact"/>
        <w:jc w:val="both"/>
        <w:rPr>
          <w:rFonts w:ascii="Times New Roman" w:hAnsi="Times New Roman"/>
          <w:sz w:val="24"/>
        </w:rPr>
      </w:pPr>
      <w:r w:rsidRPr="00EF1841">
        <w:rPr>
          <w:rFonts w:ascii="Times New Roman" w:hAnsi="Times New Roman"/>
          <w:sz w:val="24"/>
        </w:rPr>
        <w:t>Eine Definition von hybrider Wertschöpfung muss die Vielfältigkeit der Ausgestaltung</w:t>
      </w:r>
      <w:r w:rsidRPr="00EF1841">
        <w:rPr>
          <w:rFonts w:ascii="Times New Roman" w:hAnsi="Times New Roman"/>
          <w:sz w:val="24"/>
        </w:rPr>
        <w:t>s</w:t>
      </w:r>
      <w:r w:rsidRPr="00EF1841">
        <w:rPr>
          <w:rFonts w:ascii="Times New Roman" w:hAnsi="Times New Roman"/>
          <w:sz w:val="24"/>
        </w:rPr>
        <w:t>form</w:t>
      </w:r>
      <w:r w:rsidR="00E67EA3">
        <w:rPr>
          <w:rFonts w:ascii="Times New Roman" w:hAnsi="Times New Roman"/>
          <w:sz w:val="24"/>
        </w:rPr>
        <w:t>en berücksichtigen. Vier Sichtweisen</w:t>
      </w:r>
      <w:r w:rsidRPr="00EF1841">
        <w:rPr>
          <w:rFonts w:ascii="Times New Roman" w:hAnsi="Times New Roman"/>
          <w:sz w:val="24"/>
        </w:rPr>
        <w:t xml:space="preserve"> erscheinen als besonders relevant für die Ei</w:t>
      </w:r>
      <w:r w:rsidRPr="00EF1841">
        <w:rPr>
          <w:rFonts w:ascii="Times New Roman" w:hAnsi="Times New Roman"/>
          <w:sz w:val="24"/>
        </w:rPr>
        <w:t>n</w:t>
      </w:r>
      <w:r w:rsidRPr="00EF1841">
        <w:rPr>
          <w:rFonts w:ascii="Times New Roman" w:hAnsi="Times New Roman"/>
          <w:sz w:val="24"/>
        </w:rPr>
        <w:t>gren</w:t>
      </w:r>
      <w:r w:rsidR="00E67EA3">
        <w:rPr>
          <w:rFonts w:ascii="Times New Roman" w:hAnsi="Times New Roman"/>
          <w:sz w:val="24"/>
        </w:rPr>
        <w:t>zung des Hybridbegriffs (</w:t>
      </w:r>
      <w:r w:rsidR="00D925FC">
        <w:rPr>
          <w:rFonts w:ascii="Times New Roman" w:hAnsi="Times New Roman"/>
          <w:sz w:val="24"/>
        </w:rPr>
        <w:t>Übersicht</w:t>
      </w:r>
      <w:r w:rsidRPr="00EF1841">
        <w:rPr>
          <w:rFonts w:ascii="Times New Roman" w:hAnsi="Times New Roman"/>
          <w:sz w:val="24"/>
        </w:rPr>
        <w:t xml:space="preserve"> 1</w:t>
      </w:r>
      <w:r w:rsidR="00E67EA3">
        <w:rPr>
          <w:rFonts w:ascii="Times New Roman" w:hAnsi="Times New Roman"/>
          <w:sz w:val="24"/>
        </w:rPr>
        <w:t>).</w:t>
      </w:r>
      <w:r w:rsidRPr="00EF1841">
        <w:rPr>
          <w:rFonts w:ascii="Times New Roman" w:hAnsi="Times New Roman"/>
          <w:sz w:val="24"/>
        </w:rPr>
        <w:t xml:space="preserve"> Der Ausgangspunkt ist der gemeinsame Ne</w:t>
      </w:r>
      <w:r w:rsidRPr="00EF1841">
        <w:rPr>
          <w:rFonts w:ascii="Times New Roman" w:hAnsi="Times New Roman"/>
          <w:sz w:val="24"/>
        </w:rPr>
        <w:t>n</w:t>
      </w:r>
      <w:r w:rsidRPr="00EF1841">
        <w:rPr>
          <w:rFonts w:ascii="Times New Roman" w:hAnsi="Times New Roman"/>
          <w:sz w:val="24"/>
        </w:rPr>
        <w:t>ner, der darin besteht, dass sich hybride Geschäftsmodelle immer durch eine Bündelung von Industrieprodukten und Dienstleistungen auszeichnen.</w:t>
      </w:r>
    </w:p>
    <w:p w:rsidR="00D0628B" w:rsidRPr="00EF1841" w:rsidRDefault="00D0628B" w:rsidP="00EF1841">
      <w:pPr>
        <w:spacing w:line="360" w:lineRule="exact"/>
        <w:jc w:val="both"/>
        <w:rPr>
          <w:rFonts w:ascii="Times New Roman" w:hAnsi="Times New Roman"/>
          <w:sz w:val="24"/>
        </w:rPr>
      </w:pPr>
    </w:p>
    <w:p w:rsidR="00EF1841" w:rsidRDefault="008172B8" w:rsidP="00A87DA2">
      <w:pPr>
        <w:jc w:val="both"/>
        <w:rPr>
          <w:rFonts w:ascii="Times New Roman" w:hAnsi="Times New Roman"/>
        </w:rPr>
      </w:pPr>
      <w:r>
        <w:rPr>
          <w:rFonts w:ascii="Times New Roman" w:hAnsi="Times New Roman"/>
        </w:rPr>
        <w:t>Übersicht</w:t>
      </w:r>
      <w:r w:rsidR="00EF1841">
        <w:rPr>
          <w:rFonts w:ascii="Times New Roman" w:hAnsi="Times New Roman"/>
        </w:rPr>
        <w:t xml:space="preserve"> 1</w:t>
      </w:r>
    </w:p>
    <w:p w:rsidR="00D0628B" w:rsidRPr="00EF1841" w:rsidRDefault="00E67EA3" w:rsidP="00A87DA2">
      <w:pPr>
        <w:spacing w:before="120"/>
        <w:jc w:val="both"/>
        <w:rPr>
          <w:rFonts w:ascii="Times New Roman" w:hAnsi="Times New Roman"/>
          <w:b/>
          <w:sz w:val="32"/>
          <w:szCs w:val="32"/>
        </w:rPr>
      </w:pPr>
      <w:r>
        <w:rPr>
          <w:rFonts w:ascii="Times New Roman" w:hAnsi="Times New Roman"/>
          <w:b/>
          <w:sz w:val="32"/>
          <w:szCs w:val="32"/>
        </w:rPr>
        <w:t xml:space="preserve">Perspektiven </w:t>
      </w:r>
      <w:r w:rsidR="00672807">
        <w:rPr>
          <w:rFonts w:ascii="Times New Roman" w:hAnsi="Times New Roman"/>
          <w:b/>
          <w:sz w:val="32"/>
          <w:szCs w:val="32"/>
        </w:rPr>
        <w:t>der hybriden</w:t>
      </w:r>
      <w:r>
        <w:rPr>
          <w:rFonts w:ascii="Times New Roman" w:hAnsi="Times New Roman"/>
          <w:b/>
          <w:sz w:val="32"/>
          <w:szCs w:val="32"/>
        </w:rPr>
        <w:t xml:space="preserve"> Wertschöpfung</w:t>
      </w:r>
    </w:p>
    <w:p w:rsidR="003366C6" w:rsidRPr="00483098" w:rsidRDefault="003366C6" w:rsidP="00A87DA2">
      <w:pPr>
        <w:jc w:val="both"/>
        <w:rPr>
          <w:rFonts w:ascii="Times New Roman" w:hAnsi="Times New Roman"/>
        </w:rPr>
      </w:pPr>
    </w:p>
    <w:p w:rsidR="003366C6" w:rsidRPr="00483098" w:rsidRDefault="00086E96" w:rsidP="00A87DA2">
      <w:pPr>
        <w:jc w:val="both"/>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8.25pt;margin-top:307.9pt;width:65.4pt;height:18.6pt;z-index:251698176;visibility:visible;mso-wrap-edited:f;mso-position-horizontal-relative:text;mso-position-vertical-relative:text" o:allowincell="f" fillcolor="window">
            <v:imagedata r:id="rId9" o:title="" gain="69719f"/>
            <w10:wrap type="topAndBottom"/>
          </v:shape>
          <o:OLEObject Type="Embed" ProgID="Word.Picture.8" ShapeID="_x0000_s1026" DrawAspect="Content" ObjectID="_1397992687" r:id="rId10"/>
        </w:pict>
      </w:r>
      <w:r w:rsidR="00A06BA4">
        <w:rPr>
          <w:noProof/>
        </w:rPr>
        <mc:AlternateContent>
          <mc:Choice Requires="wps">
            <w:drawing>
              <wp:anchor distT="0" distB="0" distL="114300" distR="114300" simplePos="0" relativeHeight="251673600" behindDoc="0" locked="0" layoutInCell="1" allowOverlap="1" wp14:anchorId="0F9F2C26" wp14:editId="686D7882">
                <wp:simplePos x="0" y="0"/>
                <wp:positionH relativeFrom="column">
                  <wp:posOffset>15240</wp:posOffset>
                </wp:positionH>
                <wp:positionV relativeFrom="paragraph">
                  <wp:posOffset>3910965</wp:posOffset>
                </wp:positionV>
                <wp:extent cx="1033145" cy="219075"/>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033145" cy="219075"/>
                        </a:xfrm>
                        <a:prstGeom prst="rect">
                          <a:avLst/>
                        </a:prstGeom>
                        <a:noFill/>
                        <a:ln w="6350">
                          <a:noFill/>
                        </a:ln>
                        <a:effectLst/>
                      </wps:spPr>
                      <wps:txbx>
                        <w:txbxContent>
                          <w:p w:rsidR="00B35429" w:rsidRPr="00953FFC" w:rsidRDefault="00B35429" w:rsidP="00A87DA2">
                            <w:pPr>
                              <w:jc w:val="both"/>
                              <w:rPr>
                                <w:rFonts w:ascii="Times New Roman" w:hAnsi="Times New Roman"/>
                                <w:sz w:val="16"/>
                                <w:szCs w:val="16"/>
                              </w:rPr>
                            </w:pPr>
                            <w:r>
                              <w:rPr>
                                <w:rFonts w:ascii="Times New Roman" w:hAnsi="Times New Roman"/>
                                <w:sz w:val="16"/>
                                <w:szCs w:val="16"/>
                              </w:rPr>
                              <w:t>Quelle: IW Consult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1.2pt;margin-top:307.95pt;width:81.35pt;height:17.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" filled="f" stroked="f" strokeweight=".5pt">
                <v:textbox style="mso-fit-shape-to-text:t">
                  <w:txbxContent>
                    <w:p w:rsidR="00B35429" w:rsidRPr="00953FFC" w:rsidRDefault="00B35429" w:rsidP="00A87DA2">
                      <w:pPr>
                        <w:jc w:val="both"/>
                        <w:rPr>
                          <w:rFonts w:ascii="Times New Roman" w:hAnsi="Times New Roman"/>
                          <w:sz w:val="16"/>
                          <w:szCs w:val="16"/>
                        </w:rPr>
                      </w:pPr>
                      <w:r>
                        <w:rPr>
                          <w:rFonts w:ascii="Times New Roman" w:hAnsi="Times New Roman"/>
                          <w:sz w:val="16"/>
                          <w:szCs w:val="16"/>
                        </w:rPr>
                        <w:t xml:space="preserve">Quelle: IW </w:t>
                      </w:r>
                      <w:proofErr w:type="spellStart"/>
                      <w:r>
                        <w:rPr>
                          <w:rFonts w:ascii="Times New Roman" w:hAnsi="Times New Roman"/>
                          <w:sz w:val="16"/>
                          <w:szCs w:val="16"/>
                        </w:rPr>
                        <w:t>Consult</w:t>
                      </w:r>
                      <w:proofErr w:type="spellEnd"/>
                    </w:p>
                  </w:txbxContent>
                </v:textbox>
                <w10:wrap type="square"/>
              </v:shape>
            </w:pict>
          </mc:Fallback>
        </mc:AlternateContent>
      </w:r>
      <w:r w:rsidR="00BB0150" w:rsidRPr="00BB0150">
        <w:rPr>
          <w:noProof/>
        </w:rPr>
        <w:drawing>
          <wp:inline distT="0" distB="0" distL="0" distR="0">
            <wp:extent cx="5143500" cy="3854941"/>
            <wp:effectExtent l="19050" t="19050" r="19050" b="1270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0" cy="3854941"/>
                    </a:xfrm>
                    <a:prstGeom prst="rect">
                      <a:avLst/>
                    </a:prstGeom>
                    <a:noFill/>
                    <a:ln>
                      <a:solidFill>
                        <a:schemeClr val="tx1"/>
                      </a:solidFill>
                    </a:ln>
                  </pic:spPr>
                </pic:pic>
              </a:graphicData>
            </a:graphic>
          </wp:inline>
        </w:drawing>
      </w:r>
    </w:p>
    <w:p w:rsidR="00324E09" w:rsidRDefault="00324E09" w:rsidP="00AA01BD">
      <w:pPr>
        <w:spacing w:line="360" w:lineRule="exact"/>
        <w:jc w:val="both"/>
        <w:rPr>
          <w:rFonts w:ascii="Times New Roman" w:hAnsi="Times New Roman"/>
          <w:sz w:val="24"/>
        </w:rPr>
      </w:pPr>
    </w:p>
    <w:p w:rsidR="00AA01BD" w:rsidRDefault="00AA01BD" w:rsidP="00AA01BD">
      <w:pPr>
        <w:spacing w:line="360" w:lineRule="exact"/>
        <w:jc w:val="both"/>
        <w:rPr>
          <w:rFonts w:ascii="Times New Roman" w:hAnsi="Times New Roman"/>
          <w:sz w:val="24"/>
        </w:rPr>
      </w:pPr>
      <w:r>
        <w:rPr>
          <w:rFonts w:ascii="Times New Roman" w:hAnsi="Times New Roman"/>
          <w:sz w:val="24"/>
        </w:rPr>
        <w:t xml:space="preserve">1. </w:t>
      </w:r>
      <w:r w:rsidRPr="00EF1841">
        <w:rPr>
          <w:rFonts w:ascii="Times New Roman" w:hAnsi="Times New Roman"/>
          <w:sz w:val="24"/>
        </w:rPr>
        <w:t>Produktkonzept: Die Hybridisierung eines Geschäftsmodells kann daran gemessen we</w:t>
      </w:r>
      <w:r w:rsidRPr="00EF1841">
        <w:rPr>
          <w:rFonts w:ascii="Times New Roman" w:hAnsi="Times New Roman"/>
          <w:sz w:val="24"/>
        </w:rPr>
        <w:t>r</w:t>
      </w:r>
      <w:r w:rsidRPr="00EF1841">
        <w:rPr>
          <w:rFonts w:ascii="Times New Roman" w:hAnsi="Times New Roman"/>
          <w:sz w:val="24"/>
        </w:rPr>
        <w:t>den, ob ein Unternehmen gleichzeitig Umsätze mit Industrieprodukten und Dienstleistu</w:t>
      </w:r>
      <w:r w:rsidRPr="00EF1841">
        <w:rPr>
          <w:rFonts w:ascii="Times New Roman" w:hAnsi="Times New Roman"/>
          <w:sz w:val="24"/>
        </w:rPr>
        <w:t>n</w:t>
      </w:r>
      <w:r w:rsidRPr="00EF1841">
        <w:rPr>
          <w:rFonts w:ascii="Times New Roman" w:hAnsi="Times New Roman"/>
          <w:sz w:val="24"/>
        </w:rPr>
        <w:t>gen erzielt. Je ausgewogener die Verhältnisse sind, umso eher kann ein Unternehmen oder sein Geschäftsmodell als hybrid bezeichnet werden. Das ist ein sehr einfaches Kriterium, das auf die tatsächlichen Umsätze in den beiden Bereichen abstellt. Aber bereits darin li</w:t>
      </w:r>
      <w:r w:rsidRPr="00EF1841">
        <w:rPr>
          <w:rFonts w:ascii="Times New Roman" w:hAnsi="Times New Roman"/>
          <w:sz w:val="24"/>
        </w:rPr>
        <w:t>e</w:t>
      </w:r>
      <w:r w:rsidRPr="00EF1841">
        <w:rPr>
          <w:rFonts w:ascii="Times New Roman" w:hAnsi="Times New Roman"/>
          <w:sz w:val="24"/>
        </w:rPr>
        <w:t xml:space="preserve">gen seine Schwächen, denn vielfach werden gerade </w:t>
      </w:r>
      <w:r w:rsidR="00BB0150">
        <w:rPr>
          <w:rFonts w:ascii="Times New Roman" w:hAnsi="Times New Roman"/>
          <w:sz w:val="24"/>
        </w:rPr>
        <w:t>die von den</w:t>
      </w:r>
      <w:r w:rsidRPr="00EF1841">
        <w:rPr>
          <w:rFonts w:ascii="Times New Roman" w:hAnsi="Times New Roman"/>
          <w:sz w:val="24"/>
        </w:rPr>
        <w:t xml:space="preserve"> Industrieunternehmen a</w:t>
      </w:r>
      <w:r w:rsidRPr="00EF1841">
        <w:rPr>
          <w:rFonts w:ascii="Times New Roman" w:hAnsi="Times New Roman"/>
          <w:sz w:val="24"/>
        </w:rPr>
        <w:t>n</w:t>
      </w:r>
      <w:r w:rsidRPr="00EF1841">
        <w:rPr>
          <w:rFonts w:ascii="Times New Roman" w:hAnsi="Times New Roman"/>
          <w:sz w:val="24"/>
        </w:rPr>
        <w:lastRenderedPageBreak/>
        <w:t>gebotene</w:t>
      </w:r>
      <w:r w:rsidR="00BB0150">
        <w:rPr>
          <w:rFonts w:ascii="Times New Roman" w:hAnsi="Times New Roman"/>
          <w:sz w:val="24"/>
        </w:rPr>
        <w:t>n</w:t>
      </w:r>
      <w:r w:rsidRPr="00EF1841">
        <w:rPr>
          <w:rFonts w:ascii="Times New Roman" w:hAnsi="Times New Roman"/>
          <w:sz w:val="24"/>
        </w:rPr>
        <w:t xml:space="preserve"> Dienstleistungen nicht direkt in Rechnung gestellt. Die empirische Messung der Umsätze ist dann schwierig und muss auf Basis von Schätzungen erfolgen.</w:t>
      </w:r>
    </w:p>
    <w:p w:rsidR="003366C6" w:rsidRPr="00483098" w:rsidRDefault="003366C6" w:rsidP="00A87DA2">
      <w:pPr>
        <w:jc w:val="both"/>
        <w:rPr>
          <w:rFonts w:ascii="Times New Roman" w:hAnsi="Times New Roman"/>
        </w:rPr>
      </w:pPr>
    </w:p>
    <w:p w:rsidR="002A139E" w:rsidRDefault="00E67EA3" w:rsidP="00EF1841">
      <w:pPr>
        <w:spacing w:line="360" w:lineRule="exact"/>
        <w:jc w:val="both"/>
        <w:rPr>
          <w:rFonts w:ascii="Times New Roman" w:hAnsi="Times New Roman"/>
          <w:sz w:val="24"/>
        </w:rPr>
      </w:pPr>
      <w:r>
        <w:rPr>
          <w:rFonts w:ascii="Times New Roman" w:hAnsi="Times New Roman"/>
          <w:sz w:val="24"/>
        </w:rPr>
        <w:t xml:space="preserve">2. </w:t>
      </w:r>
      <w:r w:rsidR="002A139E" w:rsidRPr="00EF1841">
        <w:rPr>
          <w:rFonts w:ascii="Times New Roman" w:hAnsi="Times New Roman"/>
          <w:sz w:val="24"/>
        </w:rPr>
        <w:t>Tätigkeitskonzept: Hier stehen nicht die fakturierten Umsätze aus dem Industrie- und Dienstleistungsbereich im Vordergrund, sondern die Tätigkeiten, die ein Unternehmen a</w:t>
      </w:r>
      <w:r w:rsidR="002A139E" w:rsidRPr="00EF1841">
        <w:rPr>
          <w:rFonts w:ascii="Times New Roman" w:hAnsi="Times New Roman"/>
          <w:sz w:val="24"/>
        </w:rPr>
        <w:t>l</w:t>
      </w:r>
      <w:r w:rsidR="000B0B6A">
        <w:rPr>
          <w:rFonts w:ascii="Times New Roman" w:hAnsi="Times New Roman"/>
          <w:sz w:val="24"/>
        </w:rPr>
        <w:t>lein</w:t>
      </w:r>
      <w:r w:rsidR="002A139E" w:rsidRPr="00EF1841">
        <w:rPr>
          <w:rFonts w:ascii="Times New Roman" w:hAnsi="Times New Roman"/>
          <w:sz w:val="24"/>
        </w:rPr>
        <w:t xml:space="preserve"> oder im Verbund mit Kooperationspartnern über den Lebenszyklus eines Kernpr</w:t>
      </w:r>
      <w:r w:rsidR="002A139E" w:rsidRPr="00EF1841">
        <w:rPr>
          <w:rFonts w:ascii="Times New Roman" w:hAnsi="Times New Roman"/>
          <w:sz w:val="24"/>
        </w:rPr>
        <w:t>o</w:t>
      </w:r>
      <w:r w:rsidR="002A139E" w:rsidRPr="00EF1841">
        <w:rPr>
          <w:rFonts w:ascii="Times New Roman" w:hAnsi="Times New Roman"/>
          <w:sz w:val="24"/>
        </w:rPr>
        <w:t>duk</w:t>
      </w:r>
      <w:r w:rsidR="00CB6E1F">
        <w:rPr>
          <w:rFonts w:ascii="Times New Roman" w:hAnsi="Times New Roman"/>
          <w:sz w:val="24"/>
        </w:rPr>
        <w:t>t</w:t>
      </w:r>
      <w:r w:rsidR="002A139E" w:rsidRPr="00EF1841">
        <w:rPr>
          <w:rFonts w:ascii="Times New Roman" w:hAnsi="Times New Roman"/>
          <w:sz w:val="24"/>
        </w:rPr>
        <w:t>s anb</w:t>
      </w:r>
      <w:r w:rsidR="002902A9">
        <w:rPr>
          <w:rFonts w:ascii="Times New Roman" w:hAnsi="Times New Roman"/>
          <w:sz w:val="24"/>
        </w:rPr>
        <w:t>ietet. Die Vorstellung hier</w:t>
      </w:r>
      <w:r w:rsidR="002A139E" w:rsidRPr="00EF1841">
        <w:rPr>
          <w:rFonts w:ascii="Times New Roman" w:hAnsi="Times New Roman"/>
          <w:sz w:val="24"/>
        </w:rPr>
        <w:t>bei ist, dass eine solche idealtypische Wertschöpfung</w:t>
      </w:r>
      <w:r w:rsidR="002A139E" w:rsidRPr="00EF1841">
        <w:rPr>
          <w:rFonts w:ascii="Times New Roman" w:hAnsi="Times New Roman"/>
          <w:sz w:val="24"/>
        </w:rPr>
        <w:t>s</w:t>
      </w:r>
      <w:r w:rsidR="002A139E" w:rsidRPr="00EF1841">
        <w:rPr>
          <w:rFonts w:ascii="Times New Roman" w:hAnsi="Times New Roman"/>
          <w:sz w:val="24"/>
        </w:rPr>
        <w:t>kette in ei</w:t>
      </w:r>
      <w:r w:rsidR="00B30208">
        <w:rPr>
          <w:rFonts w:ascii="Times New Roman" w:hAnsi="Times New Roman"/>
          <w:sz w:val="24"/>
        </w:rPr>
        <w:t>nem Lebenszyklus eines Produkt</w:t>
      </w:r>
      <w:r w:rsidR="002A139E" w:rsidRPr="00EF1841">
        <w:rPr>
          <w:rFonts w:ascii="Times New Roman" w:hAnsi="Times New Roman"/>
          <w:sz w:val="24"/>
        </w:rPr>
        <w:t xml:space="preserve">s beschrieben werden kann, die </w:t>
      </w:r>
      <w:r>
        <w:rPr>
          <w:rFonts w:ascii="Times New Roman" w:hAnsi="Times New Roman"/>
          <w:sz w:val="24"/>
        </w:rPr>
        <w:t xml:space="preserve">zum Beispiel </w:t>
      </w:r>
      <w:r w:rsidR="002A139E" w:rsidRPr="00EF1841">
        <w:rPr>
          <w:rFonts w:ascii="Times New Roman" w:hAnsi="Times New Roman"/>
          <w:sz w:val="24"/>
        </w:rPr>
        <w:t>bei Mar</w:t>
      </w:r>
      <w:r w:rsidR="005B553A">
        <w:rPr>
          <w:rFonts w:ascii="Times New Roman" w:hAnsi="Times New Roman"/>
          <w:sz w:val="24"/>
        </w:rPr>
        <w:t>kt- und Bedarfsanalysen anfängt</w:t>
      </w:r>
      <w:r w:rsidR="002A139E" w:rsidRPr="00EF1841">
        <w:rPr>
          <w:rFonts w:ascii="Times New Roman" w:hAnsi="Times New Roman"/>
          <w:sz w:val="24"/>
        </w:rPr>
        <w:t xml:space="preserve"> und bei der En</w:t>
      </w:r>
      <w:r w:rsidR="005B553A">
        <w:rPr>
          <w:rFonts w:ascii="Times New Roman" w:hAnsi="Times New Roman"/>
          <w:sz w:val="24"/>
        </w:rPr>
        <w:t>tsorgung einer Anlage endet</w:t>
      </w:r>
      <w:r w:rsidR="002A139E" w:rsidRPr="00EF1841">
        <w:rPr>
          <w:rFonts w:ascii="Times New Roman" w:hAnsi="Times New Roman"/>
          <w:sz w:val="24"/>
        </w:rPr>
        <w:t>. Je mehr Tätigkeiten ein Unternehmen entlang solcher Wertschöpfungsketten anbietet, umso eher liegt ein hybrides Geschäftsmodell vor. Die Schwierigkeit bei diesem Konzept besteht darin, dass es solche idealtypischen Wertschöpfungsketten in der Praxis nicht gibt, sondern in jedem Einzelfall die individuellen Besonderheiten zu berücksichtigen sind. Außerdem sagt die Anzahl der entlang einer Wertschöpfungskette ausgeüb</w:t>
      </w:r>
      <w:r>
        <w:rPr>
          <w:rFonts w:ascii="Times New Roman" w:hAnsi="Times New Roman"/>
          <w:sz w:val="24"/>
        </w:rPr>
        <w:t xml:space="preserve">ten Tätigkeiten </w:t>
      </w:r>
      <w:r w:rsidR="002A139E" w:rsidRPr="00EF1841">
        <w:rPr>
          <w:rFonts w:ascii="Times New Roman" w:hAnsi="Times New Roman"/>
          <w:sz w:val="24"/>
        </w:rPr>
        <w:t>noch nichts über die Intensität oder die Qualität aus.</w:t>
      </w:r>
    </w:p>
    <w:p w:rsidR="004B7DCD" w:rsidRDefault="004B7DCD" w:rsidP="00EF1841">
      <w:pPr>
        <w:spacing w:line="360" w:lineRule="exact"/>
        <w:jc w:val="both"/>
        <w:rPr>
          <w:rFonts w:ascii="Times New Roman" w:hAnsi="Times New Roman"/>
          <w:sz w:val="24"/>
        </w:rPr>
      </w:pPr>
    </w:p>
    <w:p w:rsidR="00A87DA2" w:rsidRDefault="00E67EA3" w:rsidP="00EF1841">
      <w:pPr>
        <w:spacing w:line="360" w:lineRule="exact"/>
        <w:jc w:val="both"/>
        <w:rPr>
          <w:rFonts w:ascii="Times New Roman" w:hAnsi="Times New Roman"/>
          <w:sz w:val="24"/>
        </w:rPr>
      </w:pPr>
      <w:r>
        <w:rPr>
          <w:rFonts w:ascii="Times New Roman" w:hAnsi="Times New Roman"/>
          <w:sz w:val="24"/>
        </w:rPr>
        <w:t xml:space="preserve">3. </w:t>
      </w:r>
      <w:r w:rsidR="002A139E" w:rsidRPr="00EF1841">
        <w:rPr>
          <w:rFonts w:ascii="Times New Roman" w:hAnsi="Times New Roman"/>
          <w:sz w:val="24"/>
        </w:rPr>
        <w:t>Systemintegration: B</w:t>
      </w:r>
      <w:r w:rsidR="00BB0150">
        <w:rPr>
          <w:rFonts w:ascii="Times New Roman" w:hAnsi="Times New Roman"/>
          <w:sz w:val="24"/>
        </w:rPr>
        <w:t>ei dieser Dimension geht es</w:t>
      </w:r>
      <w:r w:rsidR="002A139E" w:rsidRPr="00EF1841">
        <w:rPr>
          <w:rFonts w:ascii="Times New Roman" w:hAnsi="Times New Roman"/>
          <w:sz w:val="24"/>
        </w:rPr>
        <w:t xml:space="preserve"> um die Implementierung komplexer Produkte in interagierenden Systemen. Die Komponenten bestehen im Regelfall aus I</w:t>
      </w:r>
      <w:r w:rsidR="002A139E" w:rsidRPr="00EF1841">
        <w:rPr>
          <w:rFonts w:ascii="Times New Roman" w:hAnsi="Times New Roman"/>
          <w:sz w:val="24"/>
        </w:rPr>
        <w:t>n</w:t>
      </w:r>
      <w:r w:rsidR="002A139E" w:rsidRPr="00EF1841">
        <w:rPr>
          <w:rFonts w:ascii="Times New Roman" w:hAnsi="Times New Roman"/>
          <w:sz w:val="24"/>
        </w:rPr>
        <w:t>dustrieprodukten und Dienstleistungen. Ein Beispiel dafür sind Dienstleistungen wie Nac</w:t>
      </w:r>
      <w:r w:rsidR="002A139E" w:rsidRPr="00EF1841">
        <w:rPr>
          <w:rFonts w:ascii="Times New Roman" w:hAnsi="Times New Roman"/>
          <w:sz w:val="24"/>
        </w:rPr>
        <w:t>h</w:t>
      </w:r>
      <w:r w:rsidR="002A139E" w:rsidRPr="00EF1841">
        <w:rPr>
          <w:rFonts w:ascii="Times New Roman" w:hAnsi="Times New Roman"/>
          <w:sz w:val="24"/>
        </w:rPr>
        <w:t>richtendienste in einem Auto, die die Handhabung erleichtern und den Nutzen des Grun</w:t>
      </w:r>
      <w:r w:rsidR="002A139E" w:rsidRPr="00EF1841">
        <w:rPr>
          <w:rFonts w:ascii="Times New Roman" w:hAnsi="Times New Roman"/>
          <w:sz w:val="24"/>
        </w:rPr>
        <w:t>d</w:t>
      </w:r>
      <w:r w:rsidR="002A139E" w:rsidRPr="00EF1841">
        <w:rPr>
          <w:rFonts w:ascii="Times New Roman" w:hAnsi="Times New Roman"/>
          <w:sz w:val="24"/>
        </w:rPr>
        <w:t>produkts erhöhen. Sehr wichtig sind in diesem Modell Plattformen, die die Interaktion der Komponenten der verschiedenen Systeme steuern. Ein Betriebssystem eines Smart</w:t>
      </w:r>
      <w:r w:rsidR="00232AB6" w:rsidRPr="00EF1841">
        <w:rPr>
          <w:rFonts w:ascii="Times New Roman" w:hAnsi="Times New Roman"/>
          <w:sz w:val="24"/>
        </w:rPr>
        <w:t>p</w:t>
      </w:r>
      <w:r w:rsidR="002A139E" w:rsidRPr="00EF1841">
        <w:rPr>
          <w:rFonts w:ascii="Times New Roman" w:hAnsi="Times New Roman"/>
          <w:sz w:val="24"/>
        </w:rPr>
        <w:t xml:space="preserve">hones ist zum Beispiel </w:t>
      </w:r>
      <w:r w:rsidR="00BB0150">
        <w:rPr>
          <w:rFonts w:ascii="Times New Roman" w:hAnsi="Times New Roman"/>
          <w:sz w:val="24"/>
        </w:rPr>
        <w:t xml:space="preserve">eine solche Plattform, die </w:t>
      </w:r>
      <w:r w:rsidR="002A139E" w:rsidRPr="00EF1841">
        <w:rPr>
          <w:rFonts w:ascii="Times New Roman" w:hAnsi="Times New Roman"/>
          <w:sz w:val="24"/>
        </w:rPr>
        <w:t>das Angebot verschiedener Dienste zulässt. Oft steht bei der Systemintegration die technische Sicht</w:t>
      </w:r>
      <w:r w:rsidR="00BB0150">
        <w:rPr>
          <w:rFonts w:ascii="Times New Roman" w:hAnsi="Times New Roman"/>
          <w:sz w:val="24"/>
        </w:rPr>
        <w:t>weise</w:t>
      </w:r>
      <w:r w:rsidR="002A139E" w:rsidRPr="00EF1841">
        <w:rPr>
          <w:rFonts w:ascii="Times New Roman" w:hAnsi="Times New Roman"/>
          <w:sz w:val="24"/>
        </w:rPr>
        <w:t xml:space="preserve"> im Vordergrund, weil die IT-gestützten Systeme eine überragende Bedeutung haben. Themen wie Standardisierung oder Interoperabilität sind deshalb wichtig. Die systemintegrative Sicht</w:t>
      </w:r>
      <w:r w:rsidR="00BB0150">
        <w:rPr>
          <w:rFonts w:ascii="Times New Roman" w:hAnsi="Times New Roman"/>
          <w:sz w:val="24"/>
        </w:rPr>
        <w:t>weise</w:t>
      </w:r>
      <w:r w:rsidR="002A139E" w:rsidRPr="00EF1841">
        <w:rPr>
          <w:rFonts w:ascii="Times New Roman" w:hAnsi="Times New Roman"/>
          <w:sz w:val="24"/>
        </w:rPr>
        <w:t xml:space="preserve"> beleuchtet zwar einen sehr bedeutenden Aspekt, sie verengt den Blick aber gleichzeitig auf einen speziellen Ausschnitt hy</w:t>
      </w:r>
      <w:r w:rsidR="00BB0150">
        <w:rPr>
          <w:rFonts w:ascii="Times New Roman" w:hAnsi="Times New Roman"/>
          <w:sz w:val="24"/>
        </w:rPr>
        <w:t>brider Geschäftsmodelle. Nur der</w:t>
      </w:r>
      <w:r w:rsidR="002A139E" w:rsidRPr="00EF1841">
        <w:rPr>
          <w:rFonts w:ascii="Times New Roman" w:hAnsi="Times New Roman"/>
          <w:sz w:val="24"/>
        </w:rPr>
        <w:t xml:space="preserve"> Blick auf die Dimension Systemintegration reicht nicht aus, um die Bedeutung hybrider Wertschöpfung erfassen zu können.</w:t>
      </w:r>
    </w:p>
    <w:p w:rsidR="004B7DCD" w:rsidRPr="00EF1841" w:rsidRDefault="004B7DCD" w:rsidP="00EF1841">
      <w:pPr>
        <w:spacing w:line="360" w:lineRule="exact"/>
        <w:jc w:val="both"/>
        <w:rPr>
          <w:rFonts w:ascii="Times New Roman" w:hAnsi="Times New Roman"/>
          <w:sz w:val="24"/>
        </w:rPr>
      </w:pPr>
    </w:p>
    <w:p w:rsidR="002A139E" w:rsidRPr="00EF1841" w:rsidRDefault="00E0612C" w:rsidP="00EF1841">
      <w:pPr>
        <w:spacing w:line="360" w:lineRule="exact"/>
        <w:jc w:val="both"/>
        <w:rPr>
          <w:rFonts w:ascii="Times New Roman" w:hAnsi="Times New Roman"/>
          <w:sz w:val="24"/>
        </w:rPr>
      </w:pPr>
      <w:r>
        <w:rPr>
          <w:rFonts w:ascii="Times New Roman" w:hAnsi="Times New Roman"/>
          <w:sz w:val="24"/>
        </w:rPr>
        <w:t xml:space="preserve">4. </w:t>
      </w:r>
      <w:r w:rsidR="002A139E" w:rsidRPr="00EF1841">
        <w:rPr>
          <w:rFonts w:ascii="Times New Roman" w:hAnsi="Times New Roman"/>
          <w:sz w:val="24"/>
        </w:rPr>
        <w:t xml:space="preserve">Performancegarantien: Hybride Wertschöpfung kann </w:t>
      </w:r>
      <w:r w:rsidR="002902A9">
        <w:rPr>
          <w:rFonts w:ascii="Times New Roman" w:hAnsi="Times New Roman"/>
          <w:sz w:val="24"/>
        </w:rPr>
        <w:t xml:space="preserve">auch </w:t>
      </w:r>
      <w:r w:rsidR="002A139E" w:rsidRPr="00EF1841">
        <w:rPr>
          <w:rFonts w:ascii="Times New Roman" w:hAnsi="Times New Roman"/>
          <w:sz w:val="24"/>
        </w:rPr>
        <w:t>darin bestehen, dass keine a</w:t>
      </w:r>
      <w:r w:rsidR="002A139E" w:rsidRPr="00EF1841">
        <w:rPr>
          <w:rFonts w:ascii="Times New Roman" w:hAnsi="Times New Roman"/>
          <w:sz w:val="24"/>
        </w:rPr>
        <w:t>l</w:t>
      </w:r>
      <w:r w:rsidR="002A139E" w:rsidRPr="00EF1841">
        <w:rPr>
          <w:rFonts w:ascii="Times New Roman" w:hAnsi="Times New Roman"/>
          <w:sz w:val="24"/>
        </w:rPr>
        <w:t>leinigen Maschinen oder Anlagen mehr geliefert werden, sondern nur die Nutzung dieser Produkte. Ein Heizungsbauer verkauft dann keine Heizungsanlagen mehr</w:t>
      </w:r>
      <w:r w:rsidR="00232AB6" w:rsidRPr="00EF1841">
        <w:rPr>
          <w:rFonts w:ascii="Times New Roman" w:hAnsi="Times New Roman"/>
        </w:rPr>
        <w:t xml:space="preserve"> </w:t>
      </w:r>
      <w:r w:rsidR="00232AB6" w:rsidRPr="00EF1841">
        <w:rPr>
          <w:rFonts w:ascii="Times New Roman" w:hAnsi="Times New Roman"/>
          <w:sz w:val="24"/>
        </w:rPr>
        <w:t>direkt</w:t>
      </w:r>
      <w:r w:rsidR="002A139E" w:rsidRPr="00EF1841">
        <w:rPr>
          <w:rFonts w:ascii="Times New Roman" w:hAnsi="Times New Roman"/>
          <w:sz w:val="24"/>
        </w:rPr>
        <w:t>, sondern in einem definierten Umfang Wärme. Der Erze</w:t>
      </w:r>
      <w:r w:rsidR="00EF1841">
        <w:rPr>
          <w:rFonts w:ascii="Times New Roman" w:hAnsi="Times New Roman"/>
          <w:sz w:val="24"/>
        </w:rPr>
        <w:t xml:space="preserve">uger von Kompressoren verkauft </w:t>
      </w:r>
      <w:r w:rsidR="002A139E" w:rsidRPr="00EF1841">
        <w:rPr>
          <w:rFonts w:ascii="Times New Roman" w:hAnsi="Times New Roman"/>
          <w:sz w:val="24"/>
        </w:rPr>
        <w:t>Druckluft</w:t>
      </w:r>
      <w:r>
        <w:rPr>
          <w:rFonts w:ascii="Times New Roman" w:hAnsi="Times New Roman"/>
          <w:sz w:val="24"/>
        </w:rPr>
        <w:t xml:space="preserve"> nach Bedarf, </w:t>
      </w:r>
      <w:r w:rsidR="002A139E" w:rsidRPr="00EF1841">
        <w:rPr>
          <w:rFonts w:ascii="Times New Roman" w:hAnsi="Times New Roman"/>
          <w:sz w:val="24"/>
        </w:rPr>
        <w:t>anstatt lediglich seine Maschinen. Diese Beispiele gibt es</w:t>
      </w:r>
      <w:r w:rsidR="003842D5" w:rsidRPr="00EF1841">
        <w:rPr>
          <w:rFonts w:ascii="Times New Roman" w:hAnsi="Times New Roman"/>
          <w:sz w:val="24"/>
        </w:rPr>
        <w:t xml:space="preserve"> bereits</w:t>
      </w:r>
      <w:r w:rsidR="002A139E" w:rsidRPr="00EF1841">
        <w:rPr>
          <w:rFonts w:ascii="Times New Roman" w:hAnsi="Times New Roman"/>
          <w:sz w:val="24"/>
        </w:rPr>
        <w:t xml:space="preserve"> in der Pr</w:t>
      </w:r>
      <w:r w:rsidR="002A139E" w:rsidRPr="00EF1841">
        <w:rPr>
          <w:rFonts w:ascii="Times New Roman" w:hAnsi="Times New Roman"/>
          <w:sz w:val="24"/>
        </w:rPr>
        <w:t>a</w:t>
      </w:r>
      <w:r w:rsidR="002A139E" w:rsidRPr="00EF1841">
        <w:rPr>
          <w:rFonts w:ascii="Times New Roman" w:hAnsi="Times New Roman"/>
          <w:sz w:val="24"/>
        </w:rPr>
        <w:t xml:space="preserve">xis. Sie sind aber noch ein Randphänomen. </w:t>
      </w:r>
      <w:r w:rsidR="00020DB8">
        <w:rPr>
          <w:rFonts w:ascii="Times New Roman" w:hAnsi="Times New Roman"/>
          <w:sz w:val="24"/>
        </w:rPr>
        <w:t>Diese</w:t>
      </w:r>
      <w:r w:rsidR="002A139E" w:rsidRPr="00EF1841">
        <w:rPr>
          <w:rFonts w:ascii="Times New Roman" w:hAnsi="Times New Roman"/>
          <w:sz w:val="24"/>
        </w:rPr>
        <w:t xml:space="preserve"> Modelle </w:t>
      </w:r>
      <w:r w:rsidR="00020DB8">
        <w:rPr>
          <w:rFonts w:ascii="Times New Roman" w:hAnsi="Times New Roman"/>
          <w:sz w:val="24"/>
        </w:rPr>
        <w:t xml:space="preserve">beruhen </w:t>
      </w:r>
      <w:r w:rsidR="002A139E" w:rsidRPr="00EF1841">
        <w:rPr>
          <w:rFonts w:ascii="Times New Roman" w:hAnsi="Times New Roman"/>
          <w:sz w:val="24"/>
        </w:rPr>
        <w:t>auf langfristigen G</w:t>
      </w:r>
      <w:r w:rsidR="002A139E" w:rsidRPr="00EF1841">
        <w:rPr>
          <w:rFonts w:ascii="Times New Roman" w:hAnsi="Times New Roman"/>
          <w:sz w:val="24"/>
        </w:rPr>
        <w:t>a</w:t>
      </w:r>
      <w:r w:rsidR="002A139E" w:rsidRPr="00EF1841">
        <w:rPr>
          <w:rFonts w:ascii="Times New Roman" w:hAnsi="Times New Roman"/>
          <w:sz w:val="24"/>
        </w:rPr>
        <w:t>r</w:t>
      </w:r>
      <w:r w:rsidR="009B3400">
        <w:rPr>
          <w:rFonts w:ascii="Times New Roman" w:hAnsi="Times New Roman"/>
          <w:sz w:val="24"/>
        </w:rPr>
        <w:t>antievereinbarungen über Output, Qualität</w:t>
      </w:r>
      <w:r w:rsidR="002A139E" w:rsidRPr="00EF1841">
        <w:rPr>
          <w:rFonts w:ascii="Times New Roman" w:hAnsi="Times New Roman"/>
          <w:sz w:val="24"/>
        </w:rPr>
        <w:t xml:space="preserve"> oder Kosten. Diese Performancegarantien g</w:t>
      </w:r>
      <w:r w:rsidR="002A139E" w:rsidRPr="00EF1841">
        <w:rPr>
          <w:rFonts w:ascii="Times New Roman" w:hAnsi="Times New Roman"/>
          <w:sz w:val="24"/>
        </w:rPr>
        <w:t>e</w:t>
      </w:r>
      <w:r w:rsidR="002A139E" w:rsidRPr="00EF1841">
        <w:rPr>
          <w:rFonts w:ascii="Times New Roman" w:hAnsi="Times New Roman"/>
          <w:sz w:val="24"/>
        </w:rPr>
        <w:t>hören zu den fortschrittlichen Formen von hybriden Ge</w:t>
      </w:r>
      <w:r w:rsidR="00FF0A15">
        <w:rPr>
          <w:rFonts w:ascii="Times New Roman" w:hAnsi="Times New Roman"/>
          <w:sz w:val="24"/>
        </w:rPr>
        <w:t xml:space="preserve">schäftsmodellen und erfordern </w:t>
      </w:r>
      <w:r w:rsidR="00FF0A15">
        <w:rPr>
          <w:rFonts w:ascii="Times New Roman" w:hAnsi="Times New Roman"/>
          <w:sz w:val="24"/>
        </w:rPr>
        <w:br/>
      </w:r>
      <w:r w:rsidR="00FF0A15">
        <w:rPr>
          <w:rFonts w:ascii="Times New Roman" w:hAnsi="Times New Roman"/>
          <w:sz w:val="24"/>
        </w:rPr>
        <w:lastRenderedPageBreak/>
        <w:t xml:space="preserve">– </w:t>
      </w:r>
      <w:r w:rsidR="002A139E" w:rsidRPr="00EF1841">
        <w:rPr>
          <w:rFonts w:ascii="Times New Roman" w:hAnsi="Times New Roman"/>
          <w:sz w:val="24"/>
        </w:rPr>
        <w:t xml:space="preserve">ähnlich wie die Systemintegration – eine sehr enge Interaktion zwischen Anbieter und Kunden. </w:t>
      </w:r>
      <w:r w:rsidR="00BB0150">
        <w:rPr>
          <w:rFonts w:ascii="Times New Roman" w:hAnsi="Times New Roman"/>
          <w:sz w:val="24"/>
        </w:rPr>
        <w:t>Der alleinige</w:t>
      </w:r>
      <w:r w:rsidR="002A139E" w:rsidRPr="00EF1841">
        <w:rPr>
          <w:rFonts w:ascii="Times New Roman" w:hAnsi="Times New Roman"/>
          <w:sz w:val="24"/>
        </w:rPr>
        <w:t xml:space="preserve"> Blick auf diese Garantien </w:t>
      </w:r>
      <w:r w:rsidR="003842D5" w:rsidRPr="00EF1841">
        <w:rPr>
          <w:rFonts w:ascii="Times New Roman" w:hAnsi="Times New Roman"/>
          <w:sz w:val="24"/>
        </w:rPr>
        <w:t xml:space="preserve">wäre jedoch </w:t>
      </w:r>
      <w:r w:rsidR="002A139E" w:rsidRPr="00EF1841">
        <w:rPr>
          <w:rFonts w:ascii="Times New Roman" w:hAnsi="Times New Roman"/>
          <w:sz w:val="24"/>
        </w:rPr>
        <w:t xml:space="preserve">zu eng </w:t>
      </w:r>
      <w:r w:rsidR="003842D5" w:rsidRPr="00EF1841">
        <w:rPr>
          <w:rFonts w:ascii="Times New Roman" w:hAnsi="Times New Roman"/>
          <w:sz w:val="24"/>
        </w:rPr>
        <w:t xml:space="preserve">fokussiert </w:t>
      </w:r>
      <w:r w:rsidR="002A139E" w:rsidRPr="00EF1841">
        <w:rPr>
          <w:rFonts w:ascii="Times New Roman" w:hAnsi="Times New Roman"/>
          <w:sz w:val="24"/>
        </w:rPr>
        <w:t xml:space="preserve">und </w:t>
      </w:r>
      <w:r w:rsidR="00BB0150">
        <w:rPr>
          <w:rFonts w:ascii="Times New Roman" w:hAnsi="Times New Roman"/>
          <w:sz w:val="24"/>
        </w:rPr>
        <w:t>würde</w:t>
      </w:r>
      <w:r w:rsidR="002A139E" w:rsidRPr="00EF1841">
        <w:rPr>
          <w:rFonts w:ascii="Times New Roman" w:hAnsi="Times New Roman"/>
          <w:sz w:val="24"/>
        </w:rPr>
        <w:t xml:space="preserve"> die wirkliche Bedeutung hybrider Geschäftsmodelle nicht erfassen.</w:t>
      </w:r>
    </w:p>
    <w:p w:rsidR="003842D5" w:rsidRPr="00EF1841" w:rsidRDefault="003842D5" w:rsidP="00EF1841">
      <w:pPr>
        <w:spacing w:line="360" w:lineRule="exact"/>
        <w:jc w:val="both"/>
        <w:rPr>
          <w:rFonts w:ascii="Times New Roman" w:hAnsi="Times New Roman"/>
          <w:sz w:val="24"/>
        </w:rPr>
      </w:pPr>
    </w:p>
    <w:p w:rsidR="003D479C" w:rsidRPr="00EF1841" w:rsidRDefault="00E95543" w:rsidP="00EF1841">
      <w:pPr>
        <w:spacing w:line="360" w:lineRule="exact"/>
        <w:jc w:val="both"/>
        <w:rPr>
          <w:rFonts w:ascii="Times New Roman" w:hAnsi="Times New Roman"/>
          <w:sz w:val="24"/>
        </w:rPr>
      </w:pPr>
      <w:r w:rsidRPr="00EF1841">
        <w:rPr>
          <w:rFonts w:ascii="Times New Roman" w:hAnsi="Times New Roman"/>
          <w:sz w:val="24"/>
        </w:rPr>
        <w:t>Im Ergebnis spannen si</w:t>
      </w:r>
      <w:r w:rsidR="00E0612C">
        <w:rPr>
          <w:rFonts w:ascii="Times New Roman" w:hAnsi="Times New Roman"/>
          <w:sz w:val="24"/>
        </w:rPr>
        <w:t>ch die vier Sichtweisen</w:t>
      </w:r>
      <w:r w:rsidRPr="00EF1841">
        <w:rPr>
          <w:rFonts w:ascii="Times New Roman" w:hAnsi="Times New Roman"/>
          <w:sz w:val="24"/>
        </w:rPr>
        <w:t xml:space="preserve"> zur hybriden Wertschöpfung in </w:t>
      </w:r>
      <w:r w:rsidR="003842D5" w:rsidRPr="00EF1841">
        <w:rPr>
          <w:rFonts w:ascii="Times New Roman" w:hAnsi="Times New Roman"/>
          <w:sz w:val="24"/>
        </w:rPr>
        <w:t>zwei Haupt</w:t>
      </w:r>
      <w:r w:rsidR="00E0612C">
        <w:rPr>
          <w:rFonts w:ascii="Times New Roman" w:hAnsi="Times New Roman"/>
          <w:sz w:val="24"/>
        </w:rPr>
        <w:t>perspektiven</w:t>
      </w:r>
      <w:r w:rsidR="00BB0150">
        <w:rPr>
          <w:rFonts w:ascii="Times New Roman" w:hAnsi="Times New Roman"/>
          <w:sz w:val="24"/>
        </w:rPr>
        <w:t xml:space="preserve"> (</w:t>
      </w:r>
      <w:r w:rsidR="003842D5" w:rsidRPr="00EF1841">
        <w:rPr>
          <w:rFonts w:ascii="Times New Roman" w:hAnsi="Times New Roman"/>
          <w:sz w:val="24"/>
        </w:rPr>
        <w:t>Produkt- und Tätigkei</w:t>
      </w:r>
      <w:r w:rsidR="00296D32">
        <w:rPr>
          <w:rFonts w:ascii="Times New Roman" w:hAnsi="Times New Roman"/>
          <w:sz w:val="24"/>
        </w:rPr>
        <w:t>tskonzept) und zwei Nebenperspektiven</w:t>
      </w:r>
      <w:r w:rsidR="00BB0150">
        <w:rPr>
          <w:rFonts w:ascii="Times New Roman" w:hAnsi="Times New Roman"/>
          <w:sz w:val="24"/>
        </w:rPr>
        <w:t xml:space="preserve"> (</w:t>
      </w:r>
      <w:r w:rsidR="003842D5" w:rsidRPr="00EF1841">
        <w:rPr>
          <w:rFonts w:ascii="Times New Roman" w:hAnsi="Times New Roman"/>
          <w:sz w:val="24"/>
        </w:rPr>
        <w:t>Sy</w:t>
      </w:r>
      <w:r w:rsidR="003842D5" w:rsidRPr="00EF1841">
        <w:rPr>
          <w:rFonts w:ascii="Times New Roman" w:hAnsi="Times New Roman"/>
          <w:sz w:val="24"/>
        </w:rPr>
        <w:t>s</w:t>
      </w:r>
      <w:r w:rsidR="00BB0150">
        <w:rPr>
          <w:rFonts w:ascii="Times New Roman" w:hAnsi="Times New Roman"/>
          <w:sz w:val="24"/>
        </w:rPr>
        <w:t xml:space="preserve">temintegration und </w:t>
      </w:r>
      <w:r w:rsidR="003842D5" w:rsidRPr="00EF1841">
        <w:rPr>
          <w:rFonts w:ascii="Times New Roman" w:hAnsi="Times New Roman"/>
          <w:sz w:val="24"/>
        </w:rPr>
        <w:t xml:space="preserve">Performancegarantien) </w:t>
      </w:r>
      <w:r w:rsidRPr="00EF1841">
        <w:rPr>
          <w:rFonts w:ascii="Times New Roman" w:hAnsi="Times New Roman"/>
          <w:sz w:val="24"/>
        </w:rPr>
        <w:t>auf</w:t>
      </w:r>
      <w:r w:rsidR="003842D5" w:rsidRPr="00EF1841">
        <w:rPr>
          <w:rFonts w:ascii="Times New Roman" w:hAnsi="Times New Roman"/>
          <w:sz w:val="24"/>
        </w:rPr>
        <w:t>.</w:t>
      </w:r>
      <w:r w:rsidR="00F53E29">
        <w:rPr>
          <w:rFonts w:ascii="Times New Roman" w:hAnsi="Times New Roman"/>
          <w:sz w:val="24"/>
        </w:rPr>
        <w:t xml:space="preserve"> </w:t>
      </w:r>
      <w:r w:rsidR="00D668A3">
        <w:rPr>
          <w:rFonts w:ascii="Times New Roman" w:hAnsi="Times New Roman"/>
          <w:sz w:val="24"/>
        </w:rPr>
        <w:t>In</w:t>
      </w:r>
      <w:r w:rsidR="00D0628B" w:rsidRPr="00EF1841">
        <w:rPr>
          <w:rFonts w:ascii="Times New Roman" w:hAnsi="Times New Roman"/>
          <w:sz w:val="24"/>
        </w:rPr>
        <w:t xml:space="preserve"> der vorliegenden Studie </w:t>
      </w:r>
      <w:r w:rsidR="00296D32">
        <w:rPr>
          <w:rFonts w:ascii="Times New Roman" w:hAnsi="Times New Roman"/>
          <w:sz w:val="24"/>
        </w:rPr>
        <w:t>wird d</w:t>
      </w:r>
      <w:r w:rsidR="00D0628B" w:rsidRPr="00EF1841">
        <w:rPr>
          <w:rFonts w:ascii="Times New Roman" w:hAnsi="Times New Roman"/>
          <w:sz w:val="24"/>
        </w:rPr>
        <w:t>as Täti</w:t>
      </w:r>
      <w:r w:rsidR="00D0628B" w:rsidRPr="00EF1841">
        <w:rPr>
          <w:rFonts w:ascii="Times New Roman" w:hAnsi="Times New Roman"/>
          <w:sz w:val="24"/>
        </w:rPr>
        <w:t>g</w:t>
      </w:r>
      <w:r w:rsidR="00D0628B" w:rsidRPr="00EF1841">
        <w:rPr>
          <w:rFonts w:ascii="Times New Roman" w:hAnsi="Times New Roman"/>
          <w:sz w:val="24"/>
        </w:rPr>
        <w:t>keitskonz</w:t>
      </w:r>
      <w:r w:rsidR="00296D32">
        <w:rPr>
          <w:rFonts w:ascii="Times New Roman" w:hAnsi="Times New Roman"/>
          <w:sz w:val="24"/>
        </w:rPr>
        <w:t xml:space="preserve">ept in den Vordergrund gestellt. </w:t>
      </w:r>
      <w:r w:rsidR="00D0628B" w:rsidRPr="00EF1841">
        <w:rPr>
          <w:rFonts w:ascii="Times New Roman" w:hAnsi="Times New Roman"/>
          <w:sz w:val="24"/>
        </w:rPr>
        <w:t>H</w:t>
      </w:r>
      <w:r w:rsidR="003D479C" w:rsidRPr="00EF1841">
        <w:rPr>
          <w:rFonts w:ascii="Times New Roman" w:hAnsi="Times New Roman"/>
          <w:sz w:val="24"/>
        </w:rPr>
        <w:t xml:space="preserve">ybride Wertschöpfung </w:t>
      </w:r>
      <w:r w:rsidR="00D0628B" w:rsidRPr="00EF1841">
        <w:rPr>
          <w:rFonts w:ascii="Times New Roman" w:hAnsi="Times New Roman"/>
          <w:sz w:val="24"/>
        </w:rPr>
        <w:t xml:space="preserve">wird dementsprechend </w:t>
      </w:r>
      <w:r w:rsidR="003D479C" w:rsidRPr="00EF1841">
        <w:rPr>
          <w:rFonts w:ascii="Times New Roman" w:hAnsi="Times New Roman"/>
          <w:sz w:val="24"/>
        </w:rPr>
        <w:t>anhand von drei ausgewählten Merkmalen definiert und operationalisiert:</w:t>
      </w:r>
    </w:p>
    <w:p w:rsidR="003D479C" w:rsidRPr="00296D32" w:rsidRDefault="00296D32" w:rsidP="00296D32">
      <w:pPr>
        <w:spacing w:line="360" w:lineRule="exact"/>
        <w:ind w:left="357" w:hanging="357"/>
        <w:jc w:val="both"/>
        <w:rPr>
          <w:rFonts w:ascii="Times New Roman" w:hAnsi="Times New Roman"/>
          <w:sz w:val="24"/>
        </w:rPr>
      </w:pPr>
      <w:r w:rsidRPr="00E67F68">
        <w:rPr>
          <w:rFonts w:ascii="Times New Roman" w:hAnsi="Times New Roman"/>
          <w:sz w:val="24"/>
        </w:rPr>
        <w:t>a)</w:t>
      </w:r>
      <w:r>
        <w:rPr>
          <w:rFonts w:ascii="Times New Roman" w:hAnsi="Times New Roman"/>
          <w:b/>
          <w:sz w:val="24"/>
        </w:rPr>
        <w:tab/>
      </w:r>
      <w:r w:rsidR="003D479C" w:rsidRPr="00296D32">
        <w:rPr>
          <w:rFonts w:ascii="Times New Roman" w:hAnsi="Times New Roman"/>
          <w:b/>
          <w:sz w:val="24"/>
        </w:rPr>
        <w:t>Industriebezug</w:t>
      </w:r>
      <w:r w:rsidR="003D479C" w:rsidRPr="00296D32">
        <w:rPr>
          <w:rFonts w:ascii="Times New Roman" w:hAnsi="Times New Roman"/>
          <w:sz w:val="24"/>
        </w:rPr>
        <w:t>: Im Vordergrund stehen industrielle Wertschöpfungsketten. Hybrid können deshalb nur Unternehmen sein, die Industrieprodukte und Dienstleistungstäti</w:t>
      </w:r>
      <w:r w:rsidR="003D479C" w:rsidRPr="00296D32">
        <w:rPr>
          <w:rFonts w:ascii="Times New Roman" w:hAnsi="Times New Roman"/>
          <w:sz w:val="24"/>
        </w:rPr>
        <w:t>g</w:t>
      </w:r>
      <w:r w:rsidR="00BB0150">
        <w:rPr>
          <w:rFonts w:ascii="Times New Roman" w:hAnsi="Times New Roman"/>
          <w:sz w:val="24"/>
        </w:rPr>
        <w:t>keiten in ihrem</w:t>
      </w:r>
      <w:r w:rsidR="003D479C" w:rsidRPr="00296D32">
        <w:rPr>
          <w:rFonts w:ascii="Times New Roman" w:hAnsi="Times New Roman"/>
          <w:sz w:val="24"/>
        </w:rPr>
        <w:t xml:space="preserve"> Portfolio haben.</w:t>
      </w:r>
    </w:p>
    <w:p w:rsidR="003D479C" w:rsidRPr="00296D32" w:rsidRDefault="00296D32" w:rsidP="00296D32">
      <w:pPr>
        <w:spacing w:line="360" w:lineRule="exact"/>
        <w:ind w:left="357" w:hanging="357"/>
        <w:jc w:val="both"/>
        <w:rPr>
          <w:rFonts w:ascii="Times New Roman" w:hAnsi="Times New Roman"/>
          <w:sz w:val="24"/>
        </w:rPr>
      </w:pPr>
      <w:r w:rsidRPr="00E67F68">
        <w:rPr>
          <w:rFonts w:ascii="Times New Roman" w:hAnsi="Times New Roman"/>
          <w:sz w:val="24"/>
        </w:rPr>
        <w:t>b)</w:t>
      </w:r>
      <w:r>
        <w:rPr>
          <w:rFonts w:ascii="Times New Roman" w:hAnsi="Times New Roman"/>
          <w:b/>
          <w:sz w:val="24"/>
        </w:rPr>
        <w:tab/>
      </w:r>
      <w:r w:rsidR="003D479C" w:rsidRPr="00296D32">
        <w:rPr>
          <w:rFonts w:ascii="Times New Roman" w:hAnsi="Times New Roman"/>
          <w:b/>
          <w:sz w:val="24"/>
        </w:rPr>
        <w:t>Tätigkeitsprofil</w:t>
      </w:r>
      <w:r w:rsidR="003D479C" w:rsidRPr="00296D32">
        <w:rPr>
          <w:rFonts w:ascii="Times New Roman" w:hAnsi="Times New Roman"/>
          <w:sz w:val="24"/>
        </w:rPr>
        <w:t>: Hybride Unternehmen sollen möglichst die komplette Wertschö</w:t>
      </w:r>
      <w:r w:rsidR="003D479C" w:rsidRPr="00296D32">
        <w:rPr>
          <w:rFonts w:ascii="Times New Roman" w:hAnsi="Times New Roman"/>
          <w:sz w:val="24"/>
        </w:rPr>
        <w:t>p</w:t>
      </w:r>
      <w:r w:rsidR="003D479C" w:rsidRPr="00296D32">
        <w:rPr>
          <w:rFonts w:ascii="Times New Roman" w:hAnsi="Times New Roman"/>
          <w:sz w:val="24"/>
        </w:rPr>
        <w:t xml:space="preserve">fungskette entlang </w:t>
      </w:r>
      <w:r w:rsidR="005B553A">
        <w:rPr>
          <w:rFonts w:ascii="Times New Roman" w:hAnsi="Times New Roman"/>
          <w:sz w:val="24"/>
        </w:rPr>
        <w:t>des</w:t>
      </w:r>
      <w:r w:rsidR="00CB6E1F" w:rsidRPr="00296D32">
        <w:rPr>
          <w:rFonts w:ascii="Times New Roman" w:hAnsi="Times New Roman"/>
          <w:sz w:val="24"/>
        </w:rPr>
        <w:t xml:space="preserve"> Lebenszyklus eines Produkt</w:t>
      </w:r>
      <w:r w:rsidR="003D479C" w:rsidRPr="00296D32">
        <w:rPr>
          <w:rFonts w:ascii="Times New Roman" w:hAnsi="Times New Roman"/>
          <w:sz w:val="24"/>
        </w:rPr>
        <w:t>s bearbeiten. Dazu ist ein breites T</w:t>
      </w:r>
      <w:r w:rsidR="003D479C" w:rsidRPr="00296D32">
        <w:rPr>
          <w:rFonts w:ascii="Times New Roman" w:hAnsi="Times New Roman"/>
          <w:sz w:val="24"/>
        </w:rPr>
        <w:t>ä</w:t>
      </w:r>
      <w:r w:rsidR="003D479C" w:rsidRPr="00296D32">
        <w:rPr>
          <w:rFonts w:ascii="Times New Roman" w:hAnsi="Times New Roman"/>
          <w:sz w:val="24"/>
        </w:rPr>
        <w:t>tigkeitsprofil notwendig.</w:t>
      </w:r>
    </w:p>
    <w:p w:rsidR="00CC5E27" w:rsidRDefault="00296D32" w:rsidP="00296D32">
      <w:pPr>
        <w:spacing w:line="360" w:lineRule="exact"/>
        <w:ind w:left="357" w:hanging="357"/>
        <w:jc w:val="both"/>
        <w:rPr>
          <w:rFonts w:ascii="Times New Roman" w:hAnsi="Times New Roman"/>
          <w:sz w:val="24"/>
        </w:rPr>
      </w:pPr>
      <w:r w:rsidRPr="00E67F68">
        <w:rPr>
          <w:rFonts w:ascii="Times New Roman" w:hAnsi="Times New Roman"/>
          <w:sz w:val="24"/>
        </w:rPr>
        <w:t>c)</w:t>
      </w:r>
      <w:r>
        <w:rPr>
          <w:rFonts w:ascii="Times New Roman" w:hAnsi="Times New Roman"/>
          <w:b/>
          <w:sz w:val="24"/>
        </w:rPr>
        <w:tab/>
      </w:r>
      <w:r w:rsidR="003D479C" w:rsidRPr="00296D32">
        <w:rPr>
          <w:rFonts w:ascii="Times New Roman" w:hAnsi="Times New Roman"/>
          <w:b/>
          <w:sz w:val="24"/>
        </w:rPr>
        <w:t>Garantieleistungen</w:t>
      </w:r>
      <w:r w:rsidR="003D479C" w:rsidRPr="00296D32">
        <w:rPr>
          <w:rFonts w:ascii="Times New Roman" w:hAnsi="Times New Roman"/>
          <w:sz w:val="24"/>
        </w:rPr>
        <w:t>: Fortgeschrittene hybride Geschäftsmodelle zeichnen sich dadurch aus, dass sie anstatt der Produkte deren Nutzen verkaufen. Eine Vorstufe davon sind Performancegarantien, die den Kunden bestimmte Eigenschaften von Produkten (Qu</w:t>
      </w:r>
      <w:r w:rsidR="003D479C" w:rsidRPr="00296D32">
        <w:rPr>
          <w:rFonts w:ascii="Times New Roman" w:hAnsi="Times New Roman"/>
          <w:sz w:val="24"/>
        </w:rPr>
        <w:t>a</w:t>
      </w:r>
      <w:r w:rsidR="003D479C" w:rsidRPr="00296D32">
        <w:rPr>
          <w:rFonts w:ascii="Times New Roman" w:hAnsi="Times New Roman"/>
          <w:sz w:val="24"/>
        </w:rPr>
        <w:t>lität, Laufzeiten oder Kostenobergrenzen) entlang des Lebenszyklus zusichern. Auch diese Formen von hybriden Geschäftsmodellen (Produkt plus die vertragliche Zusich</w:t>
      </w:r>
      <w:r w:rsidR="003D479C" w:rsidRPr="00296D32">
        <w:rPr>
          <w:rFonts w:ascii="Times New Roman" w:hAnsi="Times New Roman"/>
          <w:sz w:val="24"/>
        </w:rPr>
        <w:t>e</w:t>
      </w:r>
      <w:r w:rsidR="003D479C" w:rsidRPr="00296D32">
        <w:rPr>
          <w:rFonts w:ascii="Times New Roman" w:hAnsi="Times New Roman"/>
          <w:sz w:val="24"/>
        </w:rPr>
        <w:t>rung von Kerneigenschaften in der Nutzungsphase) werden empirisch beleuchtet.</w:t>
      </w:r>
    </w:p>
    <w:p w:rsidR="00483098" w:rsidRPr="00296D32" w:rsidRDefault="00483098" w:rsidP="00296D32">
      <w:pPr>
        <w:spacing w:line="360" w:lineRule="exact"/>
        <w:ind w:left="357" w:hanging="357"/>
        <w:jc w:val="both"/>
        <w:rPr>
          <w:rFonts w:ascii="Times New Roman" w:hAnsi="Times New Roman"/>
          <w:sz w:val="24"/>
        </w:rPr>
      </w:pPr>
    </w:p>
    <w:p w:rsidR="003D479C" w:rsidRPr="00296D32" w:rsidRDefault="00296D32" w:rsidP="00EF1841">
      <w:pPr>
        <w:spacing w:line="360" w:lineRule="exact"/>
        <w:jc w:val="both"/>
        <w:rPr>
          <w:rFonts w:ascii="Times New Roman" w:hAnsi="Times New Roman"/>
          <w:b/>
          <w:sz w:val="28"/>
          <w:szCs w:val="28"/>
        </w:rPr>
      </w:pPr>
      <w:r w:rsidRPr="00296D32">
        <w:rPr>
          <w:rFonts w:ascii="Times New Roman" w:hAnsi="Times New Roman"/>
          <w:b/>
          <w:sz w:val="28"/>
          <w:szCs w:val="28"/>
        </w:rPr>
        <w:t xml:space="preserve">Vorteile </w:t>
      </w:r>
      <w:r w:rsidR="00C5280E">
        <w:rPr>
          <w:rFonts w:ascii="Times New Roman" w:hAnsi="Times New Roman"/>
          <w:b/>
          <w:sz w:val="28"/>
          <w:szCs w:val="28"/>
        </w:rPr>
        <w:t>der hybriden</w:t>
      </w:r>
      <w:r w:rsidRPr="00296D32">
        <w:rPr>
          <w:rFonts w:ascii="Times New Roman" w:hAnsi="Times New Roman"/>
          <w:b/>
          <w:sz w:val="28"/>
          <w:szCs w:val="28"/>
        </w:rPr>
        <w:t xml:space="preserve"> Wertschöpfung</w:t>
      </w:r>
    </w:p>
    <w:p w:rsidR="00A36B77" w:rsidRPr="00EF1841" w:rsidRDefault="00770F9A" w:rsidP="00EF1841">
      <w:pPr>
        <w:spacing w:line="360" w:lineRule="exact"/>
        <w:jc w:val="both"/>
        <w:rPr>
          <w:rFonts w:ascii="Times New Roman" w:hAnsi="Times New Roman"/>
          <w:sz w:val="24"/>
        </w:rPr>
      </w:pPr>
      <w:r w:rsidRPr="00EF1841">
        <w:rPr>
          <w:rFonts w:ascii="Times New Roman" w:hAnsi="Times New Roman"/>
          <w:sz w:val="24"/>
        </w:rPr>
        <w:t xml:space="preserve">Wegen der Fokussierung hybrider Unternehmen </w:t>
      </w:r>
      <w:r w:rsidR="0069024F" w:rsidRPr="00EF1841">
        <w:rPr>
          <w:rFonts w:ascii="Times New Roman" w:hAnsi="Times New Roman"/>
          <w:sz w:val="24"/>
        </w:rPr>
        <w:t xml:space="preserve">auf die </w:t>
      </w:r>
      <w:r w:rsidR="00192A11" w:rsidRPr="00EF1841">
        <w:rPr>
          <w:rFonts w:ascii="Times New Roman" w:hAnsi="Times New Roman"/>
          <w:sz w:val="24"/>
        </w:rPr>
        <w:t xml:space="preserve">gesamte </w:t>
      </w:r>
      <w:r w:rsidR="0069024F" w:rsidRPr="00EF1841">
        <w:rPr>
          <w:rFonts w:ascii="Times New Roman" w:hAnsi="Times New Roman"/>
          <w:sz w:val="24"/>
        </w:rPr>
        <w:t>Wertschöpfungskette i</w:t>
      </w:r>
      <w:r w:rsidR="0069024F" w:rsidRPr="00EF1841">
        <w:rPr>
          <w:rFonts w:ascii="Times New Roman" w:hAnsi="Times New Roman"/>
          <w:sz w:val="24"/>
        </w:rPr>
        <w:t>h</w:t>
      </w:r>
      <w:r w:rsidR="0069024F" w:rsidRPr="00EF1841">
        <w:rPr>
          <w:rFonts w:ascii="Times New Roman" w:hAnsi="Times New Roman"/>
          <w:sz w:val="24"/>
        </w:rPr>
        <w:t xml:space="preserve">rer </w:t>
      </w:r>
      <w:r w:rsidR="00B97C1D" w:rsidRPr="00EF1841">
        <w:rPr>
          <w:rFonts w:ascii="Times New Roman" w:hAnsi="Times New Roman"/>
          <w:sz w:val="24"/>
        </w:rPr>
        <w:t>Hauptprodukte</w:t>
      </w:r>
      <w:r w:rsidRPr="00EF1841">
        <w:rPr>
          <w:rFonts w:ascii="Times New Roman" w:hAnsi="Times New Roman"/>
          <w:sz w:val="24"/>
        </w:rPr>
        <w:t xml:space="preserve"> sind </w:t>
      </w:r>
      <w:r w:rsidR="0069024F" w:rsidRPr="00EF1841">
        <w:rPr>
          <w:rFonts w:ascii="Times New Roman" w:hAnsi="Times New Roman"/>
          <w:sz w:val="24"/>
        </w:rPr>
        <w:t xml:space="preserve">Spezialisierungsgewinne </w:t>
      </w:r>
      <w:r w:rsidRPr="00EF1841">
        <w:rPr>
          <w:rFonts w:ascii="Times New Roman" w:hAnsi="Times New Roman"/>
          <w:sz w:val="24"/>
        </w:rPr>
        <w:t>möglich</w:t>
      </w:r>
      <w:r w:rsidR="0069024F" w:rsidRPr="00EF1841">
        <w:rPr>
          <w:rFonts w:ascii="Times New Roman" w:hAnsi="Times New Roman"/>
          <w:sz w:val="24"/>
        </w:rPr>
        <w:t xml:space="preserve">. </w:t>
      </w:r>
      <w:r w:rsidR="00343DFA" w:rsidRPr="00EF1841">
        <w:rPr>
          <w:rFonts w:ascii="Times New Roman" w:hAnsi="Times New Roman"/>
          <w:sz w:val="24"/>
        </w:rPr>
        <w:t>H</w:t>
      </w:r>
      <w:r w:rsidR="00DF3F8B" w:rsidRPr="00EF1841">
        <w:rPr>
          <w:rFonts w:ascii="Times New Roman" w:hAnsi="Times New Roman"/>
          <w:sz w:val="24"/>
        </w:rPr>
        <w:t xml:space="preserve">ybride Anbieter </w:t>
      </w:r>
      <w:r w:rsidR="007C313B" w:rsidRPr="00EF1841">
        <w:rPr>
          <w:rFonts w:ascii="Times New Roman" w:hAnsi="Times New Roman"/>
          <w:sz w:val="24"/>
        </w:rPr>
        <w:t>erlang</w:t>
      </w:r>
      <w:r w:rsidR="00343DFA" w:rsidRPr="00EF1841">
        <w:rPr>
          <w:rFonts w:ascii="Times New Roman" w:hAnsi="Times New Roman"/>
          <w:sz w:val="24"/>
        </w:rPr>
        <w:t>en</w:t>
      </w:r>
      <w:r w:rsidR="007C313B" w:rsidRPr="00EF1841">
        <w:rPr>
          <w:rFonts w:ascii="Times New Roman" w:hAnsi="Times New Roman"/>
          <w:sz w:val="24"/>
        </w:rPr>
        <w:t xml:space="preserve"> </w:t>
      </w:r>
      <w:r w:rsidR="00DF3F8B" w:rsidRPr="00EF1841">
        <w:rPr>
          <w:rFonts w:ascii="Times New Roman" w:hAnsi="Times New Roman"/>
          <w:sz w:val="24"/>
        </w:rPr>
        <w:t xml:space="preserve">dadurch Wettbewerbsvorteile. </w:t>
      </w:r>
      <w:r w:rsidR="00E93CD7" w:rsidRPr="00EF1841">
        <w:rPr>
          <w:rFonts w:ascii="Times New Roman" w:hAnsi="Times New Roman"/>
          <w:sz w:val="24"/>
        </w:rPr>
        <w:t xml:space="preserve">Durch die weitere Herausarbeitung </w:t>
      </w:r>
      <w:r w:rsidR="00B9143C">
        <w:rPr>
          <w:rFonts w:ascii="Times New Roman" w:hAnsi="Times New Roman"/>
          <w:sz w:val="24"/>
        </w:rPr>
        <w:t xml:space="preserve">von </w:t>
      </w:r>
      <w:r w:rsidR="000C578D" w:rsidRPr="00EF1841">
        <w:rPr>
          <w:rFonts w:ascii="Times New Roman" w:hAnsi="Times New Roman"/>
          <w:sz w:val="24"/>
        </w:rPr>
        <w:t>Kernkompetenzen</w:t>
      </w:r>
      <w:r w:rsidR="00CC1A77" w:rsidRPr="00EF1841">
        <w:rPr>
          <w:rFonts w:ascii="Times New Roman" w:hAnsi="Times New Roman"/>
          <w:sz w:val="24"/>
        </w:rPr>
        <w:t xml:space="preserve"> entlang d</w:t>
      </w:r>
      <w:r w:rsidR="00010BD5" w:rsidRPr="00EF1841">
        <w:rPr>
          <w:rFonts w:ascii="Times New Roman" w:hAnsi="Times New Roman"/>
          <w:sz w:val="24"/>
        </w:rPr>
        <w:t xml:space="preserve">er Wertschöpfungsketten </w:t>
      </w:r>
      <w:r w:rsidR="00CC1A77" w:rsidRPr="00EF1841">
        <w:rPr>
          <w:rFonts w:ascii="Times New Roman" w:hAnsi="Times New Roman"/>
          <w:sz w:val="24"/>
        </w:rPr>
        <w:t xml:space="preserve">ihrer Hauptprodukte </w:t>
      </w:r>
      <w:r w:rsidR="00010BD5" w:rsidRPr="00EF1841">
        <w:rPr>
          <w:rFonts w:ascii="Times New Roman" w:hAnsi="Times New Roman"/>
          <w:sz w:val="24"/>
        </w:rPr>
        <w:t>müssen die hybriden Unternehmen</w:t>
      </w:r>
      <w:r w:rsidR="00AA772E" w:rsidRPr="00EF1841">
        <w:rPr>
          <w:rFonts w:ascii="Times New Roman" w:hAnsi="Times New Roman"/>
          <w:sz w:val="24"/>
        </w:rPr>
        <w:t xml:space="preserve"> zunächst </w:t>
      </w:r>
      <w:r w:rsidR="00010BD5" w:rsidRPr="00EF1841">
        <w:rPr>
          <w:rFonts w:ascii="Times New Roman" w:hAnsi="Times New Roman"/>
          <w:sz w:val="24"/>
        </w:rPr>
        <w:t xml:space="preserve">neue Prozesse in ihre Organisation integrieren und </w:t>
      </w:r>
      <w:r w:rsidR="00860648" w:rsidRPr="00EF1841">
        <w:rPr>
          <w:rFonts w:ascii="Times New Roman" w:hAnsi="Times New Roman"/>
          <w:sz w:val="24"/>
        </w:rPr>
        <w:t xml:space="preserve">sich </w:t>
      </w:r>
      <w:r w:rsidR="00010BD5" w:rsidRPr="00EF1841">
        <w:rPr>
          <w:rFonts w:ascii="Times New Roman" w:hAnsi="Times New Roman"/>
          <w:sz w:val="24"/>
        </w:rPr>
        <w:t>Management</w:t>
      </w:r>
      <w:r w:rsidR="000C578D" w:rsidRPr="00EF1841">
        <w:rPr>
          <w:rFonts w:ascii="Times New Roman" w:hAnsi="Times New Roman"/>
          <w:sz w:val="24"/>
        </w:rPr>
        <w:t>wissen</w:t>
      </w:r>
      <w:r w:rsidR="00010BD5" w:rsidRPr="00EF1841">
        <w:rPr>
          <w:rFonts w:ascii="Times New Roman" w:hAnsi="Times New Roman"/>
          <w:sz w:val="24"/>
        </w:rPr>
        <w:t xml:space="preserve"> </w:t>
      </w:r>
      <w:r w:rsidR="00860648" w:rsidRPr="00EF1841">
        <w:rPr>
          <w:rFonts w:ascii="Times New Roman" w:hAnsi="Times New Roman"/>
          <w:sz w:val="24"/>
        </w:rPr>
        <w:t xml:space="preserve">zur Beherrschung </w:t>
      </w:r>
      <w:r w:rsidR="000C578D" w:rsidRPr="00EF1841">
        <w:rPr>
          <w:rFonts w:ascii="Times New Roman" w:hAnsi="Times New Roman"/>
          <w:sz w:val="24"/>
        </w:rPr>
        <w:t>des neuen</w:t>
      </w:r>
      <w:r w:rsidR="00CC1A77" w:rsidRPr="00EF1841">
        <w:rPr>
          <w:rFonts w:ascii="Times New Roman" w:hAnsi="Times New Roman"/>
          <w:sz w:val="24"/>
        </w:rPr>
        <w:t>, vertikalen</w:t>
      </w:r>
      <w:r w:rsidR="00860648" w:rsidRPr="00EF1841">
        <w:rPr>
          <w:rFonts w:ascii="Times New Roman" w:hAnsi="Times New Roman"/>
          <w:sz w:val="24"/>
        </w:rPr>
        <w:t xml:space="preserve"> </w:t>
      </w:r>
      <w:r w:rsidR="000C578D" w:rsidRPr="00EF1841">
        <w:rPr>
          <w:rFonts w:ascii="Times New Roman" w:hAnsi="Times New Roman"/>
          <w:sz w:val="24"/>
        </w:rPr>
        <w:t>Komplexitätsniveaus</w:t>
      </w:r>
      <w:r w:rsidR="00860648" w:rsidRPr="00EF1841">
        <w:rPr>
          <w:rFonts w:ascii="Times New Roman" w:hAnsi="Times New Roman"/>
          <w:sz w:val="24"/>
        </w:rPr>
        <w:t xml:space="preserve"> erarbeiten. </w:t>
      </w:r>
      <w:r w:rsidR="00445E7E" w:rsidRPr="00EF1841">
        <w:rPr>
          <w:rFonts w:ascii="Times New Roman" w:hAnsi="Times New Roman"/>
          <w:sz w:val="24"/>
        </w:rPr>
        <w:t>Wird diese Kompl</w:t>
      </w:r>
      <w:r w:rsidR="00445E7E" w:rsidRPr="00EF1841">
        <w:rPr>
          <w:rFonts w:ascii="Times New Roman" w:hAnsi="Times New Roman"/>
          <w:sz w:val="24"/>
        </w:rPr>
        <w:t>e</w:t>
      </w:r>
      <w:r w:rsidR="00445E7E" w:rsidRPr="00EF1841">
        <w:rPr>
          <w:rFonts w:ascii="Times New Roman" w:hAnsi="Times New Roman"/>
          <w:sz w:val="24"/>
        </w:rPr>
        <w:t xml:space="preserve">xität von den hybriden Unternehmen beherrscht, </w:t>
      </w:r>
      <w:r w:rsidR="00343DFA" w:rsidRPr="00EF1841">
        <w:rPr>
          <w:rFonts w:ascii="Times New Roman" w:hAnsi="Times New Roman"/>
          <w:sz w:val="24"/>
        </w:rPr>
        <w:t>steigt die Wettbewerbsfähigkeit deutlich</w:t>
      </w:r>
      <w:r w:rsidR="00445E7E" w:rsidRPr="00EF1841">
        <w:rPr>
          <w:rFonts w:ascii="Times New Roman" w:hAnsi="Times New Roman"/>
          <w:sz w:val="24"/>
        </w:rPr>
        <w:t xml:space="preserve">. </w:t>
      </w:r>
      <w:r w:rsidR="00E93CD7" w:rsidRPr="00EF1841">
        <w:rPr>
          <w:rFonts w:ascii="Times New Roman" w:hAnsi="Times New Roman"/>
          <w:sz w:val="24"/>
        </w:rPr>
        <w:t xml:space="preserve">Diese Vorteile manifestieren sich </w:t>
      </w:r>
      <w:r w:rsidR="00F20281" w:rsidRPr="00EF1841">
        <w:rPr>
          <w:rFonts w:ascii="Times New Roman" w:hAnsi="Times New Roman"/>
          <w:sz w:val="24"/>
        </w:rPr>
        <w:t xml:space="preserve">hauptsächlich </w:t>
      </w:r>
      <w:r w:rsidR="00E93CD7" w:rsidRPr="00EF1841">
        <w:rPr>
          <w:rFonts w:ascii="Times New Roman" w:hAnsi="Times New Roman"/>
          <w:sz w:val="24"/>
        </w:rPr>
        <w:t xml:space="preserve">darin, dass Kunden </w:t>
      </w:r>
      <w:r w:rsidR="00343DFA" w:rsidRPr="00EF1841">
        <w:rPr>
          <w:rFonts w:ascii="Times New Roman" w:hAnsi="Times New Roman"/>
          <w:sz w:val="24"/>
        </w:rPr>
        <w:t>einen höheren</w:t>
      </w:r>
      <w:r w:rsidR="00E93CD7" w:rsidRPr="00EF1841">
        <w:rPr>
          <w:rFonts w:ascii="Times New Roman" w:hAnsi="Times New Roman"/>
          <w:sz w:val="24"/>
        </w:rPr>
        <w:t xml:space="preserve"> Nutzen </w:t>
      </w:r>
      <w:r w:rsidR="00343DFA" w:rsidRPr="00EF1841">
        <w:rPr>
          <w:rFonts w:ascii="Times New Roman" w:hAnsi="Times New Roman"/>
          <w:sz w:val="24"/>
        </w:rPr>
        <w:t>aus den spezifischen Industrie-Dienstleistungsbündeln ziehen und</w:t>
      </w:r>
      <w:r w:rsidR="00D35BB6" w:rsidRPr="00EF1841">
        <w:rPr>
          <w:rFonts w:ascii="Times New Roman" w:hAnsi="Times New Roman"/>
          <w:sz w:val="24"/>
        </w:rPr>
        <w:t xml:space="preserve"> </w:t>
      </w:r>
      <w:r w:rsidR="00343DFA" w:rsidRPr="00EF1841">
        <w:rPr>
          <w:rFonts w:ascii="Times New Roman" w:hAnsi="Times New Roman"/>
          <w:sz w:val="24"/>
        </w:rPr>
        <w:t xml:space="preserve">neue </w:t>
      </w:r>
      <w:r w:rsidR="00A36B77" w:rsidRPr="00EF1841">
        <w:rPr>
          <w:rFonts w:ascii="Times New Roman" w:hAnsi="Times New Roman"/>
          <w:sz w:val="24"/>
        </w:rPr>
        <w:t>Innovationsimpu</w:t>
      </w:r>
      <w:r w:rsidR="00A36B77" w:rsidRPr="00EF1841">
        <w:rPr>
          <w:rFonts w:ascii="Times New Roman" w:hAnsi="Times New Roman"/>
          <w:sz w:val="24"/>
        </w:rPr>
        <w:t>l</w:t>
      </w:r>
      <w:r w:rsidR="00A36B77" w:rsidRPr="00EF1841">
        <w:rPr>
          <w:rFonts w:ascii="Times New Roman" w:hAnsi="Times New Roman"/>
          <w:sz w:val="24"/>
        </w:rPr>
        <w:t xml:space="preserve">se aufgrund der intensiven Zusammenarbeit mit </w:t>
      </w:r>
      <w:r w:rsidR="00020DB8">
        <w:rPr>
          <w:rFonts w:ascii="Times New Roman" w:hAnsi="Times New Roman"/>
          <w:sz w:val="24"/>
        </w:rPr>
        <w:t xml:space="preserve">den </w:t>
      </w:r>
      <w:r w:rsidR="00A36B77" w:rsidRPr="00EF1841">
        <w:rPr>
          <w:rFonts w:ascii="Times New Roman" w:hAnsi="Times New Roman"/>
          <w:sz w:val="24"/>
        </w:rPr>
        <w:t xml:space="preserve">Kunden entstehen. </w:t>
      </w:r>
    </w:p>
    <w:p w:rsidR="007C313B" w:rsidRPr="00EF1841" w:rsidRDefault="007C313B" w:rsidP="00EF1841">
      <w:pPr>
        <w:spacing w:line="360" w:lineRule="exact"/>
        <w:jc w:val="both"/>
        <w:rPr>
          <w:rFonts w:ascii="Times New Roman" w:hAnsi="Times New Roman"/>
          <w:sz w:val="24"/>
        </w:rPr>
      </w:pPr>
    </w:p>
    <w:p w:rsidR="00A36B77" w:rsidRDefault="007C313B" w:rsidP="00EF1841">
      <w:pPr>
        <w:spacing w:line="360" w:lineRule="exact"/>
        <w:jc w:val="both"/>
        <w:rPr>
          <w:rFonts w:ascii="Times New Roman" w:hAnsi="Times New Roman"/>
          <w:sz w:val="24"/>
        </w:rPr>
      </w:pPr>
      <w:r w:rsidRPr="00EF1841">
        <w:rPr>
          <w:rFonts w:ascii="Times New Roman" w:hAnsi="Times New Roman"/>
          <w:sz w:val="24"/>
        </w:rPr>
        <w:t xml:space="preserve">Hybride Wertschöpfung kann </w:t>
      </w:r>
      <w:r w:rsidR="00296D32">
        <w:rPr>
          <w:rFonts w:ascii="Times New Roman" w:hAnsi="Times New Roman"/>
          <w:sz w:val="24"/>
        </w:rPr>
        <w:t>eine Reorganisation der Wertschöpfungskette</w:t>
      </w:r>
      <w:r w:rsidRPr="00EF1841">
        <w:rPr>
          <w:rFonts w:ascii="Times New Roman" w:hAnsi="Times New Roman"/>
          <w:sz w:val="24"/>
        </w:rPr>
        <w:t xml:space="preserve"> auf der B</w:t>
      </w:r>
      <w:r w:rsidRPr="00EF1841">
        <w:rPr>
          <w:rFonts w:ascii="Times New Roman" w:hAnsi="Times New Roman"/>
          <w:sz w:val="24"/>
        </w:rPr>
        <w:t>e</w:t>
      </w:r>
      <w:r w:rsidRPr="00EF1841">
        <w:rPr>
          <w:rFonts w:ascii="Times New Roman" w:hAnsi="Times New Roman"/>
          <w:sz w:val="24"/>
        </w:rPr>
        <w:t xml:space="preserve">schaffungsseite </w:t>
      </w:r>
      <w:r w:rsidR="00296D32">
        <w:rPr>
          <w:rFonts w:ascii="Times New Roman" w:hAnsi="Times New Roman"/>
          <w:sz w:val="24"/>
        </w:rPr>
        <w:t>bedeuten (</w:t>
      </w:r>
      <w:r w:rsidR="00D925FC">
        <w:rPr>
          <w:rFonts w:ascii="Times New Roman" w:hAnsi="Times New Roman"/>
          <w:sz w:val="24"/>
        </w:rPr>
        <w:t>Übersicht</w:t>
      </w:r>
      <w:r w:rsidRPr="00EF1841">
        <w:rPr>
          <w:rFonts w:ascii="Times New Roman" w:hAnsi="Times New Roman"/>
          <w:sz w:val="24"/>
        </w:rPr>
        <w:t xml:space="preserve"> 2). Hierdurch können wiederum Effizienzgewinne r</w:t>
      </w:r>
      <w:r w:rsidRPr="00EF1841">
        <w:rPr>
          <w:rFonts w:ascii="Times New Roman" w:hAnsi="Times New Roman"/>
          <w:sz w:val="24"/>
        </w:rPr>
        <w:t>e</w:t>
      </w:r>
      <w:r w:rsidRPr="00EF1841">
        <w:rPr>
          <w:rFonts w:ascii="Times New Roman" w:hAnsi="Times New Roman"/>
          <w:sz w:val="24"/>
        </w:rPr>
        <w:t>alisiert werden. Während bei einer klassischen Wertsc</w:t>
      </w:r>
      <w:r w:rsidR="00B9143C">
        <w:rPr>
          <w:rFonts w:ascii="Times New Roman" w:hAnsi="Times New Roman"/>
          <w:sz w:val="24"/>
        </w:rPr>
        <w:t>höpfung der Produzent die Inpu</w:t>
      </w:r>
      <w:r w:rsidR="00B9143C">
        <w:rPr>
          <w:rFonts w:ascii="Times New Roman" w:hAnsi="Times New Roman"/>
          <w:sz w:val="24"/>
        </w:rPr>
        <w:t>t</w:t>
      </w:r>
      <w:r w:rsidR="00B9143C">
        <w:rPr>
          <w:rFonts w:ascii="Times New Roman" w:hAnsi="Times New Roman"/>
          <w:sz w:val="24"/>
        </w:rPr>
        <w:lastRenderedPageBreak/>
        <w:t>bündel</w:t>
      </w:r>
      <w:r w:rsidRPr="00EF1841">
        <w:rPr>
          <w:rFonts w:ascii="Times New Roman" w:hAnsi="Times New Roman"/>
          <w:sz w:val="24"/>
        </w:rPr>
        <w:t xml:space="preserve"> und Komponenten aller Zulieferer von Produkten und Dienstleistungen selbst org</w:t>
      </w:r>
      <w:r w:rsidRPr="00EF1841">
        <w:rPr>
          <w:rFonts w:ascii="Times New Roman" w:hAnsi="Times New Roman"/>
          <w:sz w:val="24"/>
        </w:rPr>
        <w:t>a</w:t>
      </w:r>
      <w:r w:rsidRPr="00EF1841">
        <w:rPr>
          <w:rFonts w:ascii="Times New Roman" w:hAnsi="Times New Roman"/>
          <w:sz w:val="24"/>
        </w:rPr>
        <w:t>nisieren, verarbeiten und verknüpfen muss, bietet die hybride Wertschöpfung den Vorteil, komplette Inputbündel und Komponenten als Problemlösung einzukaufen. Hierdurch fa</w:t>
      </w:r>
      <w:r w:rsidRPr="00EF1841">
        <w:rPr>
          <w:rFonts w:ascii="Times New Roman" w:hAnsi="Times New Roman"/>
          <w:sz w:val="24"/>
        </w:rPr>
        <w:t>l</w:t>
      </w:r>
      <w:r w:rsidRPr="00EF1841">
        <w:rPr>
          <w:rFonts w:ascii="Times New Roman" w:hAnsi="Times New Roman"/>
          <w:sz w:val="24"/>
        </w:rPr>
        <w:t>len Organisations- und Verarbeitungsschritte im Unternehmen weg, wodurch ein stärkerer Fokus auf die Kernkompetenzen gelegt werden kann. Auf de</w:t>
      </w:r>
      <w:r w:rsidR="00B9143C">
        <w:rPr>
          <w:rFonts w:ascii="Times New Roman" w:hAnsi="Times New Roman"/>
          <w:sz w:val="24"/>
        </w:rPr>
        <w:t>r Beschaffungsseite geht es</w:t>
      </w:r>
      <w:r w:rsidRPr="00EF1841">
        <w:rPr>
          <w:rFonts w:ascii="Times New Roman" w:hAnsi="Times New Roman"/>
          <w:sz w:val="24"/>
        </w:rPr>
        <w:t xml:space="preserve"> auch darum, hybride Unternehmen in die eigene Wertschöpfungskette mit einzubinden.</w:t>
      </w:r>
    </w:p>
    <w:p w:rsidR="004B7DCD" w:rsidRPr="00EF1841" w:rsidRDefault="004B7DCD" w:rsidP="00EF1841">
      <w:pPr>
        <w:spacing w:line="360" w:lineRule="exact"/>
        <w:jc w:val="both"/>
        <w:rPr>
          <w:rFonts w:ascii="Times New Roman" w:hAnsi="Times New Roman"/>
          <w:sz w:val="24"/>
        </w:rPr>
      </w:pPr>
    </w:p>
    <w:p w:rsidR="008172B8" w:rsidRDefault="008172B8" w:rsidP="008172B8">
      <w:pPr>
        <w:jc w:val="both"/>
        <w:rPr>
          <w:rFonts w:ascii="Times New Roman" w:hAnsi="Times New Roman"/>
        </w:rPr>
      </w:pPr>
      <w:r>
        <w:rPr>
          <w:rFonts w:ascii="Times New Roman" w:hAnsi="Times New Roman"/>
        </w:rPr>
        <w:t>Übersicht 2</w:t>
      </w:r>
    </w:p>
    <w:p w:rsidR="008172B8" w:rsidRDefault="008172B8" w:rsidP="008172B8">
      <w:pPr>
        <w:spacing w:before="120"/>
        <w:jc w:val="both"/>
        <w:rPr>
          <w:rFonts w:ascii="Times New Roman" w:hAnsi="Times New Roman"/>
          <w:b/>
          <w:sz w:val="32"/>
          <w:szCs w:val="32"/>
        </w:rPr>
      </w:pPr>
      <w:r w:rsidRPr="008172B8">
        <w:rPr>
          <w:rFonts w:ascii="Times New Roman" w:hAnsi="Times New Roman"/>
          <w:b/>
          <w:sz w:val="32"/>
          <w:szCs w:val="32"/>
        </w:rPr>
        <w:t>Stilisierte Dar</w:t>
      </w:r>
      <w:r w:rsidR="00143E74">
        <w:rPr>
          <w:rFonts w:ascii="Times New Roman" w:hAnsi="Times New Roman"/>
          <w:b/>
          <w:sz w:val="32"/>
          <w:szCs w:val="32"/>
        </w:rPr>
        <w:t>stellung</w:t>
      </w:r>
      <w:r w:rsidR="00D668A3">
        <w:rPr>
          <w:rFonts w:ascii="Times New Roman" w:hAnsi="Times New Roman"/>
          <w:b/>
          <w:sz w:val="32"/>
          <w:szCs w:val="32"/>
        </w:rPr>
        <w:t xml:space="preserve"> der hybriden</w:t>
      </w:r>
      <w:r w:rsidR="00143E74">
        <w:rPr>
          <w:rFonts w:ascii="Times New Roman" w:hAnsi="Times New Roman"/>
          <w:b/>
          <w:sz w:val="32"/>
          <w:szCs w:val="32"/>
        </w:rPr>
        <w:t xml:space="preserve"> Wertschöpfung</w:t>
      </w:r>
    </w:p>
    <w:p w:rsidR="00143E74" w:rsidRPr="00885DD0" w:rsidRDefault="00143E74" w:rsidP="00143E74">
      <w:pPr>
        <w:jc w:val="both"/>
        <w:rPr>
          <w:rFonts w:ascii="Times New Roman" w:hAnsi="Times New Roman"/>
        </w:rPr>
      </w:pPr>
    </w:p>
    <w:p w:rsidR="008172B8" w:rsidRPr="003366C6" w:rsidRDefault="00B9143C" w:rsidP="003366C6">
      <w:pPr>
        <w:jc w:val="both"/>
        <w:rPr>
          <w:rFonts w:ascii="Times New Roman" w:hAnsi="Times New Roman"/>
        </w:rPr>
      </w:pPr>
      <w:r w:rsidRPr="00B9143C">
        <w:rPr>
          <w:noProof/>
        </w:rPr>
        <w:drawing>
          <wp:inline distT="0" distB="0" distL="0" distR="0">
            <wp:extent cx="5038725" cy="3776414"/>
            <wp:effectExtent l="19050" t="19050" r="9525" b="146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8725" cy="3776414"/>
                    </a:xfrm>
                    <a:prstGeom prst="rect">
                      <a:avLst/>
                    </a:prstGeom>
                    <a:noFill/>
                    <a:ln>
                      <a:solidFill>
                        <a:schemeClr val="tx1"/>
                      </a:solidFill>
                    </a:ln>
                  </pic:spPr>
                </pic:pic>
              </a:graphicData>
            </a:graphic>
          </wp:inline>
        </w:drawing>
      </w:r>
    </w:p>
    <w:p w:rsidR="00B30208" w:rsidRPr="003366C6" w:rsidRDefault="00086E96" w:rsidP="003366C6">
      <w:pPr>
        <w:jc w:val="both"/>
        <w:rPr>
          <w:rFonts w:ascii="Times New Roman" w:hAnsi="Times New Roman"/>
        </w:rPr>
      </w:pPr>
      <w:r>
        <w:rPr>
          <w:rFonts w:ascii="Times New Roman" w:hAnsi="Times New Roman"/>
          <w:noProof/>
        </w:rPr>
        <w:pict>
          <v:shape id="_x0000_s1027" type="#_x0000_t75" style="position:absolute;left:0;text-align:left;margin-left:329.1pt;margin-top:6.4pt;width:65.4pt;height:18.6pt;z-index:251699200;visibility:visible;mso-wrap-edited:f;mso-position-horizontal-relative:text;mso-position-vertical-relative:text" o:allowincell="f" fillcolor="window">
            <v:imagedata r:id="rId9" o:title="" gain="69719f"/>
            <w10:wrap type="topAndBottom"/>
          </v:shape>
          <o:OLEObject Type="Embed" ProgID="Word.Picture.8" ShapeID="_x0000_s1027" DrawAspect="Content" ObjectID="_1397992688" r:id="rId13"/>
        </w:pict>
      </w:r>
      <w:r w:rsidR="00521CA4" w:rsidRPr="003366C6">
        <w:rPr>
          <w:noProof/>
        </w:rPr>
        <mc:AlternateContent>
          <mc:Choice Requires="wps">
            <w:drawing>
              <wp:anchor distT="0" distB="0" distL="114300" distR="114300" simplePos="0" relativeHeight="251675648" behindDoc="0" locked="0" layoutInCell="1" allowOverlap="1" wp14:anchorId="5F976FA9" wp14:editId="4FA38A20">
                <wp:simplePos x="0" y="0"/>
                <wp:positionH relativeFrom="column">
                  <wp:posOffset>-24130</wp:posOffset>
                </wp:positionH>
                <wp:positionV relativeFrom="paragraph">
                  <wp:posOffset>72390</wp:posOffset>
                </wp:positionV>
                <wp:extent cx="2233295" cy="290830"/>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2233295" cy="290830"/>
                        </a:xfrm>
                        <a:prstGeom prst="rect">
                          <a:avLst/>
                        </a:prstGeom>
                        <a:noFill/>
                        <a:ln w="6350">
                          <a:noFill/>
                        </a:ln>
                        <a:effectLst/>
                      </wps:spPr>
                      <wps:txbx>
                        <w:txbxContent>
                          <w:p w:rsidR="00B35429" w:rsidRPr="003366C6" w:rsidRDefault="00B35429" w:rsidP="008172B8">
                            <w:pPr>
                              <w:jc w:val="both"/>
                              <w:rPr>
                                <w:rFonts w:ascii="Times New Roman" w:hAnsi="Times New Roman"/>
                                <w:sz w:val="16"/>
                                <w:szCs w:val="16"/>
                              </w:rPr>
                            </w:pPr>
                            <w:r w:rsidRPr="003366C6">
                              <w:rPr>
                                <w:rFonts w:ascii="Times New Roman" w:hAnsi="Times New Roman"/>
                                <w:sz w:val="16"/>
                                <w:szCs w:val="16"/>
                              </w:rPr>
                              <w:t>Q</w:t>
                            </w:r>
                            <w:r>
                              <w:rPr>
                                <w:rFonts w:ascii="Times New Roman" w:hAnsi="Times New Roman"/>
                                <w:sz w:val="16"/>
                                <w:szCs w:val="16"/>
                              </w:rPr>
                              <w:t>uelle: IW Consult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7" type="#_x0000_t202" style="position:absolute;left:0;text-align:left;margin-left:-1.9pt;margin-top:5.7pt;width:175.85pt;height:2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" filled="f" stroked="f" strokeweight=".5pt">
                <v:textbox>
                  <w:txbxContent>
                    <w:p w:rsidR="00B35429" w:rsidRPr="003366C6" w:rsidRDefault="00B35429" w:rsidP="008172B8">
                      <w:pPr>
                        <w:jc w:val="both"/>
                        <w:rPr>
                          <w:rFonts w:ascii="Times New Roman" w:hAnsi="Times New Roman"/>
                          <w:sz w:val="16"/>
                          <w:szCs w:val="16"/>
                        </w:rPr>
                      </w:pPr>
                      <w:r w:rsidRPr="003366C6">
                        <w:rPr>
                          <w:rFonts w:ascii="Times New Roman" w:hAnsi="Times New Roman"/>
                          <w:sz w:val="16"/>
                          <w:szCs w:val="16"/>
                        </w:rPr>
                        <w:t>Q</w:t>
                      </w:r>
                      <w:r>
                        <w:rPr>
                          <w:rFonts w:ascii="Times New Roman" w:hAnsi="Times New Roman"/>
                          <w:sz w:val="16"/>
                          <w:szCs w:val="16"/>
                        </w:rPr>
                        <w:t xml:space="preserve">uelle: IW </w:t>
                      </w:r>
                      <w:proofErr w:type="spellStart"/>
                      <w:r>
                        <w:rPr>
                          <w:rFonts w:ascii="Times New Roman" w:hAnsi="Times New Roman"/>
                          <w:sz w:val="16"/>
                          <w:szCs w:val="16"/>
                        </w:rPr>
                        <w:t>Consult</w:t>
                      </w:r>
                      <w:proofErr w:type="spellEnd"/>
                    </w:p>
                  </w:txbxContent>
                </v:textbox>
                <w10:wrap type="square"/>
              </v:shape>
            </w:pict>
          </mc:Fallback>
        </mc:AlternateContent>
      </w:r>
    </w:p>
    <w:p w:rsidR="00AA01BD" w:rsidRDefault="00AA01BD" w:rsidP="00324E09">
      <w:pPr>
        <w:pStyle w:val="Funotentext"/>
        <w:spacing w:line="360" w:lineRule="exact"/>
        <w:jc w:val="both"/>
        <w:rPr>
          <w:rFonts w:ascii="Times New Roman" w:hAnsi="Times New Roman"/>
          <w:sz w:val="24"/>
        </w:rPr>
      </w:pPr>
      <w:r w:rsidRPr="00EF1841">
        <w:rPr>
          <w:rFonts w:ascii="Times New Roman" w:hAnsi="Times New Roman"/>
          <w:sz w:val="24"/>
        </w:rPr>
        <w:t xml:space="preserve">Hybride Wertschöpfung kann im Rahmen von Kooperationen </w:t>
      </w:r>
      <w:r w:rsidRPr="004B7DCD">
        <w:rPr>
          <w:rFonts w:ascii="Times New Roman" w:hAnsi="Times New Roman"/>
          <w:sz w:val="24"/>
          <w:szCs w:val="24"/>
        </w:rPr>
        <w:t>angeboten werden</w:t>
      </w:r>
      <w:r w:rsidRPr="00324E09">
        <w:rPr>
          <w:rFonts w:ascii="Times New Roman" w:hAnsi="Times New Roman"/>
          <w:sz w:val="24"/>
          <w:szCs w:val="24"/>
        </w:rPr>
        <w:t>. A</w:t>
      </w:r>
      <w:r w:rsidRPr="004B7DCD">
        <w:rPr>
          <w:rFonts w:ascii="Times New Roman" w:hAnsi="Times New Roman"/>
          <w:sz w:val="24"/>
          <w:szCs w:val="24"/>
        </w:rPr>
        <w:t>ndere Untersuchungen, die sich mehr mit den einzelnen, konkreten Modellen in der hyb</w:t>
      </w:r>
      <w:r w:rsidR="00324E09">
        <w:rPr>
          <w:rFonts w:ascii="Times New Roman" w:hAnsi="Times New Roman"/>
          <w:sz w:val="24"/>
          <w:szCs w:val="24"/>
        </w:rPr>
        <w:t xml:space="preserve">riden Wertschöpfung </w:t>
      </w:r>
      <w:r w:rsidR="00016E18">
        <w:rPr>
          <w:rFonts w:ascii="Times New Roman" w:hAnsi="Times New Roman"/>
          <w:sz w:val="24"/>
          <w:szCs w:val="24"/>
        </w:rPr>
        <w:t>auseinandersetzen</w:t>
      </w:r>
      <w:r w:rsidR="00324E09">
        <w:rPr>
          <w:rFonts w:ascii="Times New Roman" w:hAnsi="Times New Roman"/>
          <w:sz w:val="24"/>
          <w:szCs w:val="24"/>
        </w:rPr>
        <w:t>,</w:t>
      </w:r>
      <w:r w:rsidRPr="004B7DCD">
        <w:rPr>
          <w:rFonts w:ascii="Times New Roman" w:hAnsi="Times New Roman"/>
          <w:sz w:val="24"/>
          <w:szCs w:val="24"/>
        </w:rPr>
        <w:t xml:space="preserve"> zeigen beispielsweise, dass im Bereich der Kooperati</w:t>
      </w:r>
      <w:r w:rsidRPr="004B7DCD">
        <w:rPr>
          <w:rFonts w:ascii="Times New Roman" w:hAnsi="Times New Roman"/>
          <w:sz w:val="24"/>
          <w:szCs w:val="24"/>
        </w:rPr>
        <w:t>o</w:t>
      </w:r>
      <w:r w:rsidRPr="004B7DCD">
        <w:rPr>
          <w:rFonts w:ascii="Times New Roman" w:hAnsi="Times New Roman"/>
          <w:sz w:val="24"/>
          <w:szCs w:val="24"/>
        </w:rPr>
        <w:t>nen Potenziale noch nicht au</w:t>
      </w:r>
      <w:r>
        <w:rPr>
          <w:rFonts w:ascii="Times New Roman" w:hAnsi="Times New Roman"/>
          <w:sz w:val="24"/>
          <w:szCs w:val="24"/>
        </w:rPr>
        <w:t xml:space="preserve">sgeschöpft werden (Schuh et al., 2006; </w:t>
      </w:r>
      <w:r w:rsidRPr="004B7DCD">
        <w:rPr>
          <w:rFonts w:ascii="Times New Roman" w:hAnsi="Times New Roman"/>
          <w:sz w:val="24"/>
          <w:szCs w:val="24"/>
        </w:rPr>
        <w:t>Schrö</w:t>
      </w:r>
      <w:r w:rsidR="00282DAF">
        <w:rPr>
          <w:rFonts w:ascii="Times New Roman" w:hAnsi="Times New Roman"/>
          <w:sz w:val="24"/>
          <w:szCs w:val="24"/>
        </w:rPr>
        <w:t>ter/Buschak/</w:t>
      </w:r>
      <w:r w:rsidR="00B9143C">
        <w:rPr>
          <w:rFonts w:ascii="Times New Roman" w:hAnsi="Times New Roman"/>
          <w:sz w:val="24"/>
          <w:szCs w:val="24"/>
        </w:rPr>
        <w:br/>
      </w:r>
      <w:r w:rsidR="00282DAF">
        <w:rPr>
          <w:rFonts w:ascii="Times New Roman" w:hAnsi="Times New Roman"/>
          <w:sz w:val="24"/>
          <w:szCs w:val="24"/>
        </w:rPr>
        <w:t>Jäger</w:t>
      </w:r>
      <w:r>
        <w:rPr>
          <w:rFonts w:ascii="Times New Roman" w:hAnsi="Times New Roman"/>
          <w:sz w:val="24"/>
          <w:szCs w:val="24"/>
        </w:rPr>
        <w:t xml:space="preserve">, </w:t>
      </w:r>
      <w:r w:rsidRPr="004B7DCD">
        <w:rPr>
          <w:rFonts w:ascii="Times New Roman" w:hAnsi="Times New Roman"/>
          <w:sz w:val="24"/>
          <w:szCs w:val="24"/>
        </w:rPr>
        <w:t>2010)</w:t>
      </w:r>
      <w:r>
        <w:rPr>
          <w:rFonts w:ascii="Times New Roman" w:hAnsi="Times New Roman"/>
          <w:sz w:val="24"/>
          <w:szCs w:val="24"/>
        </w:rPr>
        <w:t>.</w:t>
      </w:r>
      <w:r w:rsidRPr="004B7DCD">
        <w:rPr>
          <w:rFonts w:ascii="Times New Roman" w:hAnsi="Times New Roman"/>
          <w:sz w:val="24"/>
          <w:szCs w:val="24"/>
        </w:rPr>
        <w:t xml:space="preserve"> So können sich Unternehmen noch weiter spezialisieren, parallel aber die Vorteile des Schnürens von Nutzenbündeln wahrnehmen. Solche Kooperationen sind hochinteressant</w:t>
      </w:r>
      <w:r w:rsidRPr="00EF1841">
        <w:rPr>
          <w:rFonts w:ascii="Times New Roman" w:hAnsi="Times New Roman"/>
          <w:sz w:val="24"/>
        </w:rPr>
        <w:t xml:space="preserve"> für k</w:t>
      </w:r>
      <w:r>
        <w:rPr>
          <w:rFonts w:ascii="Times New Roman" w:hAnsi="Times New Roman"/>
          <w:sz w:val="24"/>
        </w:rPr>
        <w:t>leine und mittelständische</w:t>
      </w:r>
      <w:r w:rsidRPr="00EF1841">
        <w:rPr>
          <w:rFonts w:ascii="Times New Roman" w:hAnsi="Times New Roman"/>
          <w:sz w:val="24"/>
        </w:rPr>
        <w:t xml:space="preserve"> Unternehmen. Ihnen wird bei der Zusa</w:t>
      </w:r>
      <w:r w:rsidRPr="00EF1841">
        <w:rPr>
          <w:rFonts w:ascii="Times New Roman" w:hAnsi="Times New Roman"/>
          <w:sz w:val="24"/>
        </w:rPr>
        <w:t>m</w:t>
      </w:r>
      <w:r w:rsidRPr="00EF1841">
        <w:rPr>
          <w:rFonts w:ascii="Times New Roman" w:hAnsi="Times New Roman"/>
          <w:sz w:val="24"/>
        </w:rPr>
        <w:t xml:space="preserve">menarbeit mit größeren Unternehmen ein neuer Kundenkreis eröffnet. Bei gemeinsamen </w:t>
      </w:r>
      <w:r w:rsidRPr="00EF1841">
        <w:rPr>
          <w:rFonts w:ascii="Times New Roman" w:hAnsi="Times New Roman"/>
          <w:sz w:val="24"/>
        </w:rPr>
        <w:lastRenderedPageBreak/>
        <w:t>internationalen Aktivitäten können – möglich</w:t>
      </w:r>
      <w:r>
        <w:rPr>
          <w:rFonts w:ascii="Times New Roman" w:hAnsi="Times New Roman"/>
          <w:sz w:val="24"/>
        </w:rPr>
        <w:t>er</w:t>
      </w:r>
      <w:r w:rsidRPr="00EF1841">
        <w:rPr>
          <w:rFonts w:ascii="Times New Roman" w:hAnsi="Times New Roman"/>
          <w:sz w:val="24"/>
        </w:rPr>
        <w:t>weise erste – Auslandserfahrungen gesa</w:t>
      </w:r>
      <w:r w:rsidRPr="00EF1841">
        <w:rPr>
          <w:rFonts w:ascii="Times New Roman" w:hAnsi="Times New Roman"/>
          <w:sz w:val="24"/>
        </w:rPr>
        <w:t>m</w:t>
      </w:r>
      <w:r w:rsidRPr="00EF1841">
        <w:rPr>
          <w:rFonts w:ascii="Times New Roman" w:hAnsi="Times New Roman"/>
          <w:sz w:val="24"/>
        </w:rPr>
        <w:t>melt werd</w:t>
      </w:r>
      <w:r>
        <w:rPr>
          <w:rFonts w:ascii="Times New Roman" w:hAnsi="Times New Roman"/>
          <w:sz w:val="24"/>
        </w:rPr>
        <w:t>en.</w:t>
      </w:r>
    </w:p>
    <w:p w:rsidR="00B56956" w:rsidRDefault="00B56956" w:rsidP="00324E09">
      <w:pPr>
        <w:pStyle w:val="Funotentext"/>
        <w:spacing w:line="360" w:lineRule="exact"/>
        <w:jc w:val="both"/>
        <w:rPr>
          <w:rFonts w:ascii="Times New Roman" w:hAnsi="Times New Roman"/>
          <w:sz w:val="24"/>
        </w:rPr>
      </w:pPr>
    </w:p>
    <w:p w:rsidR="009E4388" w:rsidRPr="00EF1841" w:rsidRDefault="008172B8" w:rsidP="00EF1841">
      <w:pPr>
        <w:spacing w:line="360" w:lineRule="exact"/>
        <w:jc w:val="both"/>
        <w:rPr>
          <w:rFonts w:ascii="Times New Roman" w:hAnsi="Times New Roman"/>
          <w:sz w:val="24"/>
        </w:rPr>
      </w:pPr>
      <w:r>
        <w:rPr>
          <w:rFonts w:ascii="Times New Roman" w:hAnsi="Times New Roman"/>
          <w:sz w:val="24"/>
        </w:rPr>
        <w:t>Die Grundidee des Konzept</w:t>
      </w:r>
      <w:r w:rsidR="00AB6242" w:rsidRPr="00EF1841">
        <w:rPr>
          <w:rFonts w:ascii="Times New Roman" w:hAnsi="Times New Roman"/>
          <w:sz w:val="24"/>
        </w:rPr>
        <w:t>s d</w:t>
      </w:r>
      <w:r w:rsidR="00EF1841">
        <w:rPr>
          <w:rFonts w:ascii="Times New Roman" w:hAnsi="Times New Roman"/>
          <w:sz w:val="24"/>
        </w:rPr>
        <w:t xml:space="preserve">er hybriden Wertschöpfung kann </w:t>
      </w:r>
      <w:r w:rsidR="00AB6242" w:rsidRPr="00EF1841">
        <w:rPr>
          <w:rFonts w:ascii="Times New Roman" w:hAnsi="Times New Roman"/>
          <w:sz w:val="24"/>
        </w:rPr>
        <w:t xml:space="preserve">anhand eines stilisierten Atommodells </w:t>
      </w:r>
      <w:r w:rsidR="00C65333" w:rsidRPr="00EF1841">
        <w:rPr>
          <w:rFonts w:ascii="Times New Roman" w:hAnsi="Times New Roman"/>
          <w:sz w:val="24"/>
        </w:rPr>
        <w:t xml:space="preserve">verdeutlicht </w:t>
      </w:r>
      <w:r w:rsidR="00825BCF">
        <w:rPr>
          <w:rFonts w:ascii="Times New Roman" w:hAnsi="Times New Roman"/>
          <w:sz w:val="24"/>
        </w:rPr>
        <w:t>werden (</w:t>
      </w:r>
      <w:r w:rsidR="00D925FC">
        <w:rPr>
          <w:rFonts w:ascii="Times New Roman" w:hAnsi="Times New Roman"/>
          <w:sz w:val="24"/>
        </w:rPr>
        <w:t>Übersicht</w:t>
      </w:r>
      <w:r w:rsidR="00AB6242" w:rsidRPr="00EF1841">
        <w:rPr>
          <w:rFonts w:ascii="Times New Roman" w:hAnsi="Times New Roman"/>
          <w:sz w:val="24"/>
        </w:rPr>
        <w:t xml:space="preserve"> </w:t>
      </w:r>
      <w:r w:rsidR="00797826" w:rsidRPr="00EF1841">
        <w:rPr>
          <w:rFonts w:ascii="Times New Roman" w:hAnsi="Times New Roman"/>
          <w:sz w:val="24"/>
        </w:rPr>
        <w:t>3</w:t>
      </w:r>
      <w:r w:rsidR="00AB6242" w:rsidRPr="00EF1841">
        <w:rPr>
          <w:rFonts w:ascii="Times New Roman" w:hAnsi="Times New Roman"/>
          <w:sz w:val="24"/>
        </w:rPr>
        <w:t>). Ein hybrides Nutzenbündel besteht aus einem Kern (meistens einem Industrieprodukt) und Elementen (meis</w:t>
      </w:r>
      <w:r w:rsidR="00825BCF">
        <w:rPr>
          <w:rFonts w:ascii="Times New Roman" w:hAnsi="Times New Roman"/>
          <w:sz w:val="24"/>
        </w:rPr>
        <w:t>tens Dienstleistu</w:t>
      </w:r>
      <w:r w:rsidR="00825BCF">
        <w:rPr>
          <w:rFonts w:ascii="Times New Roman" w:hAnsi="Times New Roman"/>
          <w:sz w:val="24"/>
        </w:rPr>
        <w:t>n</w:t>
      </w:r>
      <w:r w:rsidR="00825BCF">
        <w:rPr>
          <w:rFonts w:ascii="Times New Roman" w:hAnsi="Times New Roman"/>
          <w:sz w:val="24"/>
        </w:rPr>
        <w:t xml:space="preserve">gen), die den </w:t>
      </w:r>
      <w:r w:rsidR="00AB6242" w:rsidRPr="00EF1841">
        <w:rPr>
          <w:rFonts w:ascii="Times New Roman" w:hAnsi="Times New Roman"/>
          <w:sz w:val="24"/>
        </w:rPr>
        <w:t xml:space="preserve">Kern ummanteln </w:t>
      </w:r>
      <w:r w:rsidR="00730D09" w:rsidRPr="00EF1841">
        <w:rPr>
          <w:rFonts w:ascii="Times New Roman" w:hAnsi="Times New Roman"/>
          <w:sz w:val="24"/>
        </w:rPr>
        <w:t xml:space="preserve">und erst mit ihm zusammen eine stabile Einheit </w:t>
      </w:r>
      <w:r w:rsidR="00B9143C">
        <w:rPr>
          <w:rFonts w:ascii="Times New Roman" w:hAnsi="Times New Roman"/>
          <w:sz w:val="24"/>
        </w:rPr>
        <w:t>(</w:t>
      </w:r>
      <w:r w:rsidR="00AB6242" w:rsidRPr="00EF1841">
        <w:rPr>
          <w:rFonts w:ascii="Times New Roman" w:hAnsi="Times New Roman"/>
          <w:sz w:val="24"/>
        </w:rPr>
        <w:t xml:space="preserve">Industrie-Dienstleistungsprodukt) bilden. </w:t>
      </w:r>
      <w:r w:rsidR="00730D09" w:rsidRPr="00EF1841">
        <w:rPr>
          <w:rFonts w:ascii="Times New Roman" w:hAnsi="Times New Roman"/>
          <w:sz w:val="24"/>
        </w:rPr>
        <w:t>Die</w:t>
      </w:r>
      <w:r w:rsidR="00AB6242" w:rsidRPr="00EF1841">
        <w:rPr>
          <w:rFonts w:ascii="Times New Roman" w:hAnsi="Times New Roman"/>
          <w:sz w:val="24"/>
        </w:rPr>
        <w:t xml:space="preserve"> Dienstleistungen</w:t>
      </w:r>
      <w:r w:rsidR="00730D09" w:rsidRPr="00EF1841">
        <w:rPr>
          <w:rFonts w:ascii="Times New Roman" w:hAnsi="Times New Roman"/>
          <w:sz w:val="24"/>
        </w:rPr>
        <w:t xml:space="preserve"> stabilisieren</w:t>
      </w:r>
      <w:r w:rsidR="00AB6242" w:rsidRPr="00EF1841">
        <w:rPr>
          <w:rFonts w:ascii="Times New Roman" w:hAnsi="Times New Roman"/>
          <w:sz w:val="24"/>
        </w:rPr>
        <w:t xml:space="preserve"> den Kern, weil dort we</w:t>
      </w:r>
      <w:r w:rsidR="00AB6242" w:rsidRPr="00EF1841">
        <w:rPr>
          <w:rFonts w:ascii="Times New Roman" w:hAnsi="Times New Roman"/>
          <w:sz w:val="24"/>
        </w:rPr>
        <w:t>i</w:t>
      </w:r>
      <w:r w:rsidR="00AB6242" w:rsidRPr="00EF1841">
        <w:rPr>
          <w:rFonts w:ascii="Times New Roman" w:hAnsi="Times New Roman"/>
          <w:sz w:val="24"/>
        </w:rPr>
        <w:t>tere vielfältige Differenzierungsmöglichkeiten im Wettbewerb möglich sind. Diese Stabil</w:t>
      </w:r>
      <w:r w:rsidR="00AB6242" w:rsidRPr="00EF1841">
        <w:rPr>
          <w:rFonts w:ascii="Times New Roman" w:hAnsi="Times New Roman"/>
          <w:sz w:val="24"/>
        </w:rPr>
        <w:t>i</w:t>
      </w:r>
      <w:r w:rsidR="00AB6242" w:rsidRPr="00EF1841">
        <w:rPr>
          <w:rFonts w:ascii="Times New Roman" w:hAnsi="Times New Roman"/>
          <w:sz w:val="24"/>
        </w:rPr>
        <w:t xml:space="preserve">tät </w:t>
      </w:r>
      <w:r w:rsidR="00730D09" w:rsidRPr="00EF1841">
        <w:rPr>
          <w:rFonts w:ascii="Times New Roman" w:hAnsi="Times New Roman"/>
          <w:sz w:val="24"/>
        </w:rPr>
        <w:t>wird</w:t>
      </w:r>
      <w:r w:rsidR="00997D8A">
        <w:rPr>
          <w:rFonts w:ascii="Times New Roman" w:hAnsi="Times New Roman"/>
          <w:sz w:val="24"/>
        </w:rPr>
        <w:t xml:space="preserve"> durch Garantien und Ex-</w:t>
      </w:r>
      <w:r w:rsidR="00AB6242" w:rsidRPr="00EF1841">
        <w:rPr>
          <w:rFonts w:ascii="Times New Roman" w:hAnsi="Times New Roman"/>
          <w:sz w:val="24"/>
        </w:rPr>
        <w:t>ante-Vereinbarungen</w:t>
      </w:r>
      <w:r w:rsidR="00730D09" w:rsidRPr="00EF1841">
        <w:rPr>
          <w:rFonts w:ascii="Times New Roman" w:hAnsi="Times New Roman"/>
          <w:sz w:val="24"/>
        </w:rPr>
        <w:t xml:space="preserve"> in Bezug auf das Nutzenbündel</w:t>
      </w:r>
      <w:r w:rsidR="00AB6242" w:rsidRPr="00EF1841">
        <w:rPr>
          <w:rFonts w:ascii="Times New Roman" w:hAnsi="Times New Roman"/>
          <w:sz w:val="24"/>
        </w:rPr>
        <w:t xml:space="preserve"> e</w:t>
      </w:r>
      <w:r w:rsidR="00AB6242" w:rsidRPr="00EF1841">
        <w:rPr>
          <w:rFonts w:ascii="Times New Roman" w:hAnsi="Times New Roman"/>
          <w:sz w:val="24"/>
        </w:rPr>
        <w:t>r</w:t>
      </w:r>
      <w:r w:rsidR="00AB6242" w:rsidRPr="00EF1841">
        <w:rPr>
          <w:rFonts w:ascii="Times New Roman" w:hAnsi="Times New Roman"/>
          <w:sz w:val="24"/>
        </w:rPr>
        <w:t>höht. Das Angebot von Dienstleistungen bindet damit den Kunden enger an das Hauptpr</w:t>
      </w:r>
      <w:r w:rsidR="00AB6242" w:rsidRPr="00EF1841">
        <w:rPr>
          <w:rFonts w:ascii="Times New Roman" w:hAnsi="Times New Roman"/>
          <w:sz w:val="24"/>
        </w:rPr>
        <w:t>o</w:t>
      </w:r>
      <w:r w:rsidR="00AB6242" w:rsidRPr="00EF1841">
        <w:rPr>
          <w:rFonts w:ascii="Times New Roman" w:hAnsi="Times New Roman"/>
          <w:sz w:val="24"/>
        </w:rPr>
        <w:t xml:space="preserve">dukt. </w:t>
      </w:r>
      <w:r w:rsidR="009E4388" w:rsidRPr="00EF1841">
        <w:rPr>
          <w:rFonts w:ascii="Times New Roman" w:hAnsi="Times New Roman"/>
          <w:sz w:val="24"/>
        </w:rPr>
        <w:t>Die Dienstleistungen können dementsprechend als schützender Mantel um das I</w:t>
      </w:r>
      <w:r w:rsidR="009E4388" w:rsidRPr="00EF1841">
        <w:rPr>
          <w:rFonts w:ascii="Times New Roman" w:hAnsi="Times New Roman"/>
          <w:sz w:val="24"/>
        </w:rPr>
        <w:t>n</w:t>
      </w:r>
      <w:r w:rsidR="009E4388" w:rsidRPr="00EF1841">
        <w:rPr>
          <w:rFonts w:ascii="Times New Roman" w:hAnsi="Times New Roman"/>
          <w:sz w:val="24"/>
        </w:rPr>
        <w:t>dustrieprodukt verstanden werden. Die Beherrschung dieses höheren Kom</w:t>
      </w:r>
      <w:r w:rsidR="00825BCF">
        <w:rPr>
          <w:rFonts w:ascii="Times New Roman" w:hAnsi="Times New Roman"/>
          <w:sz w:val="24"/>
        </w:rPr>
        <w:t>plexitätsniveaus</w:t>
      </w:r>
      <w:r w:rsidR="009E4388" w:rsidRPr="00EF1841">
        <w:rPr>
          <w:rFonts w:ascii="Times New Roman" w:hAnsi="Times New Roman"/>
          <w:sz w:val="24"/>
        </w:rPr>
        <w:t xml:space="preserve"> beeinflusst die Wettbewerbsfähigkeit der hybriden Unternehmen positiv.</w:t>
      </w:r>
    </w:p>
    <w:p w:rsidR="009966F9" w:rsidRDefault="009966F9" w:rsidP="00EF1841">
      <w:pPr>
        <w:spacing w:line="360" w:lineRule="exact"/>
        <w:jc w:val="both"/>
        <w:rPr>
          <w:rFonts w:ascii="Times New Roman" w:hAnsi="Times New Roman"/>
          <w:sz w:val="24"/>
        </w:rPr>
      </w:pPr>
    </w:p>
    <w:p w:rsidR="009966F9" w:rsidRDefault="009966F9" w:rsidP="009966F9">
      <w:pPr>
        <w:jc w:val="both"/>
        <w:rPr>
          <w:rFonts w:ascii="Times New Roman" w:hAnsi="Times New Roman"/>
        </w:rPr>
      </w:pPr>
      <w:r>
        <w:rPr>
          <w:rFonts w:ascii="Times New Roman" w:hAnsi="Times New Roman"/>
        </w:rPr>
        <w:t>Übersicht 3</w:t>
      </w:r>
    </w:p>
    <w:p w:rsidR="009966F9" w:rsidRPr="009966F9" w:rsidRDefault="009966F9" w:rsidP="009966F9">
      <w:pPr>
        <w:spacing w:before="120"/>
        <w:ind w:right="-285"/>
        <w:rPr>
          <w:rFonts w:ascii="Times New Roman" w:hAnsi="Times New Roman"/>
          <w:b/>
          <w:sz w:val="32"/>
          <w:szCs w:val="32"/>
        </w:rPr>
      </w:pPr>
      <w:r w:rsidRPr="009966F9">
        <w:rPr>
          <w:rFonts w:ascii="Times New Roman" w:hAnsi="Times New Roman"/>
          <w:b/>
          <w:sz w:val="32"/>
          <w:szCs w:val="32"/>
        </w:rPr>
        <w:t>Skizzierung einer Hybrid-Strategie für ein Industrieunternehmen</w:t>
      </w:r>
    </w:p>
    <w:p w:rsidR="00246CE0" w:rsidRPr="003366C6" w:rsidRDefault="00246CE0" w:rsidP="009966F9">
      <w:pPr>
        <w:jc w:val="both"/>
        <w:rPr>
          <w:rFonts w:ascii="Times New Roman" w:hAnsi="Times New Roman"/>
        </w:rPr>
      </w:pPr>
    </w:p>
    <w:p w:rsidR="00521CA4" w:rsidRDefault="00B9143C" w:rsidP="009966F9">
      <w:pPr>
        <w:jc w:val="both"/>
        <w:rPr>
          <w:rFonts w:ascii="Times New Roman" w:hAnsi="Times New Roman"/>
        </w:rPr>
      </w:pPr>
      <w:r>
        <w:rPr>
          <w:noProof/>
        </w:rPr>
        <mc:AlternateContent>
          <mc:Choice Requires="wps">
            <w:drawing>
              <wp:anchor distT="0" distB="0" distL="114300" distR="114300" simplePos="0" relativeHeight="251677696" behindDoc="0" locked="0" layoutInCell="1" allowOverlap="1" wp14:anchorId="78AF5944" wp14:editId="7A008B72">
                <wp:simplePos x="0" y="0"/>
                <wp:positionH relativeFrom="column">
                  <wp:posOffset>-66675</wp:posOffset>
                </wp:positionH>
                <wp:positionV relativeFrom="paragraph">
                  <wp:posOffset>3806190</wp:posOffset>
                </wp:positionV>
                <wp:extent cx="1828800" cy="182880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35429" w:rsidRPr="00FA741C" w:rsidRDefault="00B35429" w:rsidP="009966F9">
                            <w:pPr>
                              <w:jc w:val="both"/>
                              <w:rPr>
                                <w:rFonts w:ascii="Times New Roman" w:hAnsi="Times New Roman"/>
                                <w:sz w:val="16"/>
                                <w:szCs w:val="16"/>
                              </w:rPr>
                            </w:pPr>
                            <w:r w:rsidRPr="00FA741C">
                              <w:rPr>
                                <w:rFonts w:ascii="Times New Roman" w:hAnsi="Times New Roman"/>
                                <w:sz w:val="16"/>
                                <w:szCs w:val="16"/>
                              </w:rPr>
                              <w:t xml:space="preserve">Quelle: </w:t>
                            </w:r>
                            <w:r>
                              <w:rPr>
                                <w:rFonts w:ascii="Times New Roman" w:hAnsi="Times New Roman"/>
                                <w:sz w:val="16"/>
                                <w:szCs w:val="16"/>
                              </w:rPr>
                              <w:t>IW Consult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12" o:spid="_x0000_s1028" type="#_x0000_t202" style="position:absolute;left:0;text-align:left;margin-left:-5.25pt;margin-top:299.7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" filled="f" stroked="f" strokeweight=".5pt">
                <v:textbox style="mso-fit-shape-to-text:t">
                  <w:txbxContent>
                    <w:p w:rsidR="00B35429" w:rsidRPr="00FA741C" w:rsidRDefault="00B35429" w:rsidP="009966F9">
                      <w:pPr>
                        <w:jc w:val="both"/>
                        <w:rPr>
                          <w:rFonts w:ascii="Times New Roman" w:hAnsi="Times New Roman"/>
                          <w:sz w:val="16"/>
                          <w:szCs w:val="16"/>
                        </w:rPr>
                      </w:pPr>
                      <w:r w:rsidRPr="00FA741C">
                        <w:rPr>
                          <w:rFonts w:ascii="Times New Roman" w:hAnsi="Times New Roman"/>
                          <w:sz w:val="16"/>
                          <w:szCs w:val="16"/>
                        </w:rPr>
                        <w:t xml:space="preserve">Quelle: </w:t>
                      </w:r>
                      <w:r>
                        <w:rPr>
                          <w:rFonts w:ascii="Times New Roman" w:hAnsi="Times New Roman"/>
                          <w:sz w:val="16"/>
                          <w:szCs w:val="16"/>
                        </w:rPr>
                        <w:t xml:space="preserve">IW </w:t>
                      </w:r>
                      <w:proofErr w:type="spellStart"/>
                      <w:r>
                        <w:rPr>
                          <w:rFonts w:ascii="Times New Roman" w:hAnsi="Times New Roman"/>
                          <w:sz w:val="16"/>
                          <w:szCs w:val="16"/>
                        </w:rPr>
                        <w:t>Consult</w:t>
                      </w:r>
                      <w:proofErr w:type="spellEnd"/>
                    </w:p>
                  </w:txbxContent>
                </v:textbox>
                <w10:wrap type="square"/>
              </v:shape>
            </w:pict>
          </mc:Fallback>
        </mc:AlternateContent>
      </w:r>
      <w:r w:rsidR="00086E96">
        <w:rPr>
          <w:rFonts w:ascii="Times New Roman" w:hAnsi="Times New Roman"/>
          <w:noProof/>
          <w:sz w:val="24"/>
        </w:rPr>
        <w:pict>
          <v:shape id="_x0000_s1028" type="#_x0000_t75" style="position:absolute;left:0;text-align:left;margin-left:326.8pt;margin-top:300.2pt;width:65.4pt;height:18.6pt;z-index:251700224;visibility:visible;mso-wrap-edited:f;mso-position-horizontal-relative:text;mso-position-vertical-relative:text" o:allowincell="f" fillcolor="window">
            <v:imagedata r:id="rId9" o:title="" gain="69719f"/>
            <w10:wrap type="topAndBottom"/>
          </v:shape>
          <o:OLEObject Type="Embed" ProgID="Word.Picture.8" ShapeID="_x0000_s1028" DrawAspect="Content" ObjectID="_1397992689" r:id="rId14"/>
        </w:pict>
      </w:r>
      <w:r w:rsidRPr="00B9143C">
        <w:rPr>
          <w:noProof/>
        </w:rPr>
        <w:drawing>
          <wp:inline distT="0" distB="0" distL="0" distR="0" wp14:anchorId="44274281" wp14:editId="312F251B">
            <wp:extent cx="5019675" cy="3762136"/>
            <wp:effectExtent l="19050" t="19050" r="9525" b="1016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9675" cy="3762136"/>
                    </a:xfrm>
                    <a:prstGeom prst="rect">
                      <a:avLst/>
                    </a:prstGeom>
                    <a:noFill/>
                    <a:ln>
                      <a:solidFill>
                        <a:schemeClr val="tx1"/>
                      </a:solidFill>
                    </a:ln>
                  </pic:spPr>
                </pic:pic>
              </a:graphicData>
            </a:graphic>
          </wp:inline>
        </w:drawing>
      </w:r>
    </w:p>
    <w:p w:rsidR="003366C6" w:rsidRPr="003366C6" w:rsidRDefault="003366C6" w:rsidP="009966F9">
      <w:pPr>
        <w:jc w:val="both"/>
        <w:rPr>
          <w:rFonts w:ascii="Times New Roman" w:hAnsi="Times New Roman"/>
        </w:rPr>
      </w:pPr>
    </w:p>
    <w:p w:rsidR="00B56956" w:rsidRDefault="00B56956">
      <w:pPr>
        <w:rPr>
          <w:rFonts w:ascii="Times New Roman" w:hAnsi="Times New Roman"/>
          <w:b/>
          <w:sz w:val="28"/>
          <w:szCs w:val="28"/>
        </w:rPr>
      </w:pPr>
      <w:r>
        <w:rPr>
          <w:rFonts w:ascii="Times New Roman" w:hAnsi="Times New Roman"/>
          <w:b/>
          <w:sz w:val="28"/>
          <w:szCs w:val="28"/>
        </w:rPr>
        <w:br w:type="page"/>
      </w:r>
    </w:p>
    <w:p w:rsidR="00AA01BD" w:rsidRPr="009966F9" w:rsidRDefault="00AA01BD" w:rsidP="00AA01BD">
      <w:pPr>
        <w:spacing w:line="360" w:lineRule="exact"/>
        <w:rPr>
          <w:rFonts w:ascii="Times New Roman" w:hAnsi="Times New Roman"/>
          <w:b/>
          <w:sz w:val="28"/>
          <w:szCs w:val="28"/>
        </w:rPr>
      </w:pPr>
      <w:r w:rsidRPr="009966F9">
        <w:rPr>
          <w:rFonts w:ascii="Times New Roman" w:hAnsi="Times New Roman"/>
          <w:b/>
          <w:sz w:val="28"/>
          <w:szCs w:val="28"/>
        </w:rPr>
        <w:lastRenderedPageBreak/>
        <w:t>Definition</w:t>
      </w:r>
      <w:r>
        <w:rPr>
          <w:rFonts w:ascii="Times New Roman" w:hAnsi="Times New Roman"/>
          <w:b/>
          <w:sz w:val="28"/>
          <w:szCs w:val="28"/>
        </w:rPr>
        <w:t xml:space="preserve"> von hybriden</w:t>
      </w:r>
      <w:r w:rsidRPr="009966F9">
        <w:rPr>
          <w:rFonts w:ascii="Times New Roman" w:hAnsi="Times New Roman"/>
          <w:b/>
          <w:sz w:val="28"/>
          <w:szCs w:val="28"/>
        </w:rPr>
        <w:t xml:space="preserve"> Unternehmen</w:t>
      </w:r>
    </w:p>
    <w:p w:rsidR="00AA01BD" w:rsidRDefault="00AA01BD" w:rsidP="00AA01BD">
      <w:pPr>
        <w:spacing w:line="360" w:lineRule="exact"/>
        <w:jc w:val="both"/>
        <w:rPr>
          <w:rFonts w:ascii="Times New Roman" w:hAnsi="Times New Roman"/>
          <w:sz w:val="24"/>
        </w:rPr>
      </w:pPr>
      <w:r w:rsidRPr="00EF1841">
        <w:rPr>
          <w:rFonts w:ascii="Times New Roman" w:hAnsi="Times New Roman"/>
          <w:sz w:val="24"/>
        </w:rPr>
        <w:t xml:space="preserve">Im Frühjahr 2011 wurde im Rahmen des IW-Zukunftspanels </w:t>
      </w:r>
      <w:r w:rsidR="00016E18">
        <w:rPr>
          <w:rFonts w:ascii="Times New Roman" w:hAnsi="Times New Roman"/>
          <w:sz w:val="24"/>
        </w:rPr>
        <w:t>(siehe hierzu Lich</w:t>
      </w:r>
      <w:r w:rsidR="00016E18">
        <w:rPr>
          <w:rFonts w:ascii="Times New Roman" w:hAnsi="Times New Roman"/>
          <w:sz w:val="24"/>
        </w:rPr>
        <w:t>t</w:t>
      </w:r>
      <w:r w:rsidR="00016E18">
        <w:rPr>
          <w:rFonts w:ascii="Times New Roman" w:hAnsi="Times New Roman"/>
          <w:sz w:val="24"/>
        </w:rPr>
        <w:t xml:space="preserve">blau/Neligan, 2009) </w:t>
      </w:r>
      <w:r w:rsidRPr="00EF1841">
        <w:rPr>
          <w:rFonts w:ascii="Times New Roman" w:hAnsi="Times New Roman"/>
          <w:sz w:val="24"/>
        </w:rPr>
        <w:t xml:space="preserve">das Schwerpunktthema „hybride Wertschöpfung“ bearbeitet, das als Datengrundlage die Winterwelle des IW-Zukunftspanels berücksichtigt. Den Fragebogen </w:t>
      </w:r>
      <w:r w:rsidR="00016E18">
        <w:rPr>
          <w:rFonts w:ascii="Times New Roman" w:hAnsi="Times New Roman"/>
          <w:sz w:val="24"/>
        </w:rPr>
        <w:t>beantworteten</w:t>
      </w:r>
      <w:r w:rsidRPr="00EF1841">
        <w:rPr>
          <w:rFonts w:ascii="Times New Roman" w:hAnsi="Times New Roman"/>
          <w:sz w:val="24"/>
        </w:rPr>
        <w:t xml:space="preserve"> insgesamt 2.650 deutsche Unter</w:t>
      </w:r>
      <w:r w:rsidR="00016E18">
        <w:rPr>
          <w:rFonts w:ascii="Times New Roman" w:hAnsi="Times New Roman"/>
          <w:sz w:val="24"/>
        </w:rPr>
        <w:t>nehmen</w:t>
      </w:r>
      <w:r>
        <w:rPr>
          <w:rFonts w:ascii="Times New Roman" w:hAnsi="Times New Roman"/>
          <w:sz w:val="24"/>
          <w:szCs w:val="24"/>
        </w:rPr>
        <w:t>,</w:t>
      </w:r>
      <w:r w:rsidRPr="00020DB8">
        <w:rPr>
          <w:rFonts w:ascii="Times New Roman" w:hAnsi="Times New Roman"/>
          <w:sz w:val="24"/>
          <w:szCs w:val="24"/>
        </w:rPr>
        <w:t xml:space="preserve"> </w:t>
      </w:r>
      <w:r>
        <w:rPr>
          <w:rFonts w:ascii="Times New Roman" w:hAnsi="Times New Roman"/>
          <w:sz w:val="24"/>
          <w:szCs w:val="24"/>
        </w:rPr>
        <w:t xml:space="preserve">was einer </w:t>
      </w:r>
      <w:r w:rsidRPr="00EF1841">
        <w:rPr>
          <w:rFonts w:ascii="Times New Roman" w:hAnsi="Times New Roman"/>
          <w:sz w:val="24"/>
        </w:rPr>
        <w:t>Rückla</w:t>
      </w:r>
      <w:r w:rsidR="00C2047E">
        <w:rPr>
          <w:rFonts w:ascii="Times New Roman" w:hAnsi="Times New Roman"/>
          <w:sz w:val="24"/>
        </w:rPr>
        <w:t>ufquote von 17 </w:t>
      </w:r>
      <w:r>
        <w:rPr>
          <w:rFonts w:ascii="Times New Roman" w:hAnsi="Times New Roman"/>
          <w:sz w:val="24"/>
        </w:rPr>
        <w:t>Prozent entspricht</w:t>
      </w:r>
      <w:r w:rsidRPr="00825BCF">
        <w:rPr>
          <w:rFonts w:ascii="Times New Roman" w:hAnsi="Times New Roman"/>
          <w:sz w:val="24"/>
          <w:szCs w:val="24"/>
        </w:rPr>
        <w:t xml:space="preserve">. Davon wiederum </w:t>
      </w:r>
      <w:r w:rsidR="00016E18">
        <w:rPr>
          <w:rFonts w:ascii="Times New Roman" w:hAnsi="Times New Roman"/>
          <w:sz w:val="24"/>
          <w:szCs w:val="24"/>
        </w:rPr>
        <w:t>gaben</w:t>
      </w:r>
      <w:r w:rsidRPr="00825BCF">
        <w:rPr>
          <w:rFonts w:ascii="Times New Roman" w:hAnsi="Times New Roman"/>
          <w:sz w:val="24"/>
          <w:szCs w:val="24"/>
        </w:rPr>
        <w:t xml:space="preserve"> knapp 2.000 Unternehmen umfassende Antworten zu den Fragen des Themenbloc</w:t>
      </w:r>
      <w:r w:rsidR="00016E18">
        <w:rPr>
          <w:rFonts w:ascii="Times New Roman" w:hAnsi="Times New Roman"/>
          <w:sz w:val="24"/>
          <w:szCs w:val="24"/>
        </w:rPr>
        <w:t>ks hybride Wertschöpfung</w:t>
      </w:r>
      <w:r>
        <w:rPr>
          <w:rFonts w:ascii="Times New Roman" w:hAnsi="Times New Roman"/>
          <w:sz w:val="24"/>
          <w:szCs w:val="24"/>
        </w:rPr>
        <w:t>.</w:t>
      </w:r>
      <w:r>
        <w:rPr>
          <w:rFonts w:ascii="Times New Roman" w:hAnsi="Times New Roman"/>
          <w:sz w:val="24"/>
        </w:rPr>
        <w:t xml:space="preserve"> </w:t>
      </w:r>
      <w:r w:rsidRPr="00EF1841">
        <w:rPr>
          <w:rFonts w:ascii="Times New Roman" w:hAnsi="Times New Roman"/>
          <w:sz w:val="24"/>
        </w:rPr>
        <w:t>Einbe</w:t>
      </w:r>
      <w:r>
        <w:rPr>
          <w:rFonts w:ascii="Times New Roman" w:hAnsi="Times New Roman"/>
          <w:sz w:val="24"/>
        </w:rPr>
        <w:t>zogen waren</w:t>
      </w:r>
      <w:r w:rsidRPr="00EF1841">
        <w:rPr>
          <w:rFonts w:ascii="Times New Roman" w:hAnsi="Times New Roman"/>
          <w:sz w:val="24"/>
        </w:rPr>
        <w:t xml:space="preserve"> </w:t>
      </w:r>
      <w:r w:rsidR="00C2047E">
        <w:rPr>
          <w:rFonts w:ascii="Times New Roman" w:hAnsi="Times New Roman"/>
          <w:sz w:val="24"/>
        </w:rPr>
        <w:br/>
      </w:r>
      <w:r w:rsidRPr="00EF1841">
        <w:rPr>
          <w:rFonts w:ascii="Times New Roman" w:hAnsi="Times New Roman"/>
          <w:sz w:val="24"/>
        </w:rPr>
        <w:t>– entsprechend dem Konzept des IW-Zukunftspanels – nur Unternehmen aus den Bere</w:t>
      </w:r>
      <w:r w:rsidRPr="00EF1841">
        <w:rPr>
          <w:rFonts w:ascii="Times New Roman" w:hAnsi="Times New Roman"/>
          <w:sz w:val="24"/>
        </w:rPr>
        <w:t>i</w:t>
      </w:r>
      <w:r w:rsidRPr="00EF1841">
        <w:rPr>
          <w:rFonts w:ascii="Times New Roman" w:hAnsi="Times New Roman"/>
          <w:sz w:val="24"/>
        </w:rPr>
        <w:t>chen Industrie und industrienahe Dienstleistungen, also der Teil der deutschen Wirtschaft, der direkt oder indirekt im internationalen Wettbewerb steht.</w:t>
      </w:r>
    </w:p>
    <w:p w:rsidR="00AA01BD" w:rsidRPr="00EF1841" w:rsidRDefault="00AA01BD" w:rsidP="00AA01BD">
      <w:pPr>
        <w:spacing w:line="360" w:lineRule="exact"/>
        <w:jc w:val="both"/>
        <w:rPr>
          <w:rFonts w:ascii="Times New Roman" w:hAnsi="Times New Roman"/>
          <w:sz w:val="24"/>
        </w:rPr>
      </w:pPr>
    </w:p>
    <w:p w:rsidR="00274B09" w:rsidRDefault="00D925FC" w:rsidP="00274B09">
      <w:pPr>
        <w:jc w:val="both"/>
        <w:rPr>
          <w:rFonts w:ascii="Times New Roman" w:hAnsi="Times New Roman"/>
        </w:rPr>
      </w:pPr>
      <w:r>
        <w:rPr>
          <w:rFonts w:ascii="Times New Roman" w:hAnsi="Times New Roman"/>
        </w:rPr>
        <w:t>Abbildung 1</w:t>
      </w:r>
    </w:p>
    <w:p w:rsidR="00274B09" w:rsidRDefault="00274B09" w:rsidP="00274B09">
      <w:pPr>
        <w:spacing w:before="120"/>
        <w:jc w:val="both"/>
        <w:rPr>
          <w:rFonts w:ascii="Times New Roman" w:hAnsi="Times New Roman"/>
          <w:b/>
          <w:sz w:val="32"/>
          <w:szCs w:val="32"/>
        </w:rPr>
      </w:pPr>
      <w:r w:rsidRPr="00274B09">
        <w:rPr>
          <w:rFonts w:ascii="Times New Roman" w:hAnsi="Times New Roman"/>
          <w:b/>
          <w:sz w:val="32"/>
          <w:szCs w:val="32"/>
        </w:rPr>
        <w:t>Definition und Bedeutung hybrider Unternehmen</w:t>
      </w:r>
    </w:p>
    <w:p w:rsidR="00020DB8" w:rsidRPr="00020DB8" w:rsidRDefault="00B96708" w:rsidP="00020DB8">
      <w:pPr>
        <w:jc w:val="both"/>
        <w:rPr>
          <w:rFonts w:ascii="Times New Roman" w:hAnsi="Times New Roman"/>
          <w:sz w:val="22"/>
          <w:szCs w:val="22"/>
        </w:rPr>
      </w:pPr>
      <w:r>
        <w:rPr>
          <w:rFonts w:ascii="Times New Roman" w:hAnsi="Times New Roman"/>
          <w:sz w:val="22"/>
          <w:szCs w:val="22"/>
        </w:rPr>
        <w:t>Anteile in Prozent aller Unternehmen</w:t>
      </w:r>
    </w:p>
    <w:p w:rsidR="00274B09" w:rsidRDefault="00274B09" w:rsidP="00274B09">
      <w:pPr>
        <w:jc w:val="both"/>
        <w:rPr>
          <w:rFonts w:ascii="Times New Roman" w:hAnsi="Times New Roman"/>
        </w:rPr>
      </w:pPr>
    </w:p>
    <w:p w:rsidR="003366C6" w:rsidRDefault="00086E96" w:rsidP="00274B09">
      <w:pPr>
        <w:jc w:val="both"/>
        <w:rPr>
          <w:rFonts w:ascii="Times New Roman" w:hAnsi="Times New Roman"/>
        </w:rPr>
      </w:pPr>
      <w:r>
        <w:rPr>
          <w:rFonts w:ascii="Times New Roman" w:hAnsi="Times New Roman"/>
          <w:noProof/>
          <w:sz w:val="24"/>
        </w:rPr>
        <w:pict>
          <v:shape id="_x0000_s1029" type="#_x0000_t75" style="position:absolute;left:0;text-align:left;margin-left:329.45pt;margin-top:303.65pt;width:65.4pt;height:18.6pt;z-index:251701248;visibility:visible;mso-wrap-edited:f;mso-position-horizontal-relative:text;mso-position-vertical-relative:text" o:allowincell="f" fillcolor="window">
            <v:imagedata r:id="rId9" o:title="" gain="69719f"/>
            <w10:wrap type="topAndBottom"/>
          </v:shape>
          <o:OLEObject Type="Embed" ProgID="Word.Picture.8" ShapeID="_x0000_s1029" DrawAspect="Content" ObjectID="_1397992690" r:id="rId16"/>
        </w:pict>
      </w:r>
      <w:r w:rsidR="00B9143C" w:rsidRPr="00B9143C">
        <w:rPr>
          <w:noProof/>
        </w:rPr>
        <w:drawing>
          <wp:inline distT="0" distB="0" distL="0" distR="0" wp14:anchorId="58AFA0FA" wp14:editId="64BF802B">
            <wp:extent cx="5076825" cy="3804969"/>
            <wp:effectExtent l="19050" t="19050" r="9525" b="2413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6825" cy="3804969"/>
                    </a:xfrm>
                    <a:prstGeom prst="rect">
                      <a:avLst/>
                    </a:prstGeom>
                    <a:noFill/>
                    <a:ln>
                      <a:solidFill>
                        <a:schemeClr val="tx1"/>
                      </a:solidFill>
                    </a:ln>
                  </pic:spPr>
                </pic:pic>
              </a:graphicData>
            </a:graphic>
          </wp:inline>
        </w:drawing>
      </w:r>
    </w:p>
    <w:p w:rsidR="007160DF" w:rsidRPr="00B56956" w:rsidRDefault="007160DF" w:rsidP="007160DF">
      <w:pPr>
        <w:jc w:val="both"/>
        <w:rPr>
          <w:rFonts w:ascii="Times New Roman" w:hAnsi="Times New Roman"/>
          <w:sz w:val="24"/>
          <w:szCs w:val="24"/>
        </w:rPr>
      </w:pPr>
      <w:r w:rsidRPr="00B56956">
        <w:rPr>
          <w:noProof/>
        </w:rPr>
        <mc:AlternateContent>
          <mc:Choice Requires="wps">
            <w:drawing>
              <wp:anchor distT="0" distB="0" distL="114300" distR="114300" simplePos="0" relativeHeight="251679744" behindDoc="0" locked="0" layoutInCell="1" allowOverlap="1" wp14:anchorId="0F2CD03C" wp14:editId="453D4D30">
                <wp:simplePos x="0" y="0"/>
                <wp:positionH relativeFrom="column">
                  <wp:posOffset>3175</wp:posOffset>
                </wp:positionH>
                <wp:positionV relativeFrom="paragraph">
                  <wp:posOffset>5080</wp:posOffset>
                </wp:positionV>
                <wp:extent cx="1863090" cy="1828800"/>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1863090" cy="1828800"/>
                        </a:xfrm>
                        <a:prstGeom prst="rect">
                          <a:avLst/>
                        </a:prstGeom>
                        <a:noFill/>
                        <a:ln w="6350">
                          <a:noFill/>
                        </a:ln>
                        <a:effectLst/>
                      </wps:spPr>
                      <wps:txbx>
                        <w:txbxContent>
                          <w:p w:rsidR="00B35429" w:rsidRPr="00825BCF" w:rsidRDefault="00B35429" w:rsidP="00825BCF">
                            <w:pPr>
                              <w:jc w:val="both"/>
                              <w:rPr>
                                <w:rFonts w:ascii="Times New Roman" w:hAnsi="Times New Roman"/>
                                <w:sz w:val="16"/>
                                <w:szCs w:val="16"/>
                              </w:rPr>
                            </w:pPr>
                            <w:r w:rsidRPr="00825BCF">
                              <w:rPr>
                                <w:rFonts w:ascii="Times New Roman" w:hAnsi="Times New Roman"/>
                                <w:sz w:val="16"/>
                                <w:szCs w:val="16"/>
                              </w:rPr>
                              <w:t>Quelle: IW Consult,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4" o:spid="_x0000_s1029" type="#_x0000_t202" style="position:absolute;left:0;text-align:left;margin-left:.25pt;margin-top:.4pt;width:146.7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" filled="f" stroked="f" strokeweight=".5pt">
                <v:textbox style="mso-fit-shape-to-text:t">
                  <w:txbxContent>
                    <w:p w:rsidR="00B35429" w:rsidRPr="00825BCF" w:rsidRDefault="00B35429" w:rsidP="00825BCF">
                      <w:pPr>
                        <w:jc w:val="both"/>
                        <w:rPr>
                          <w:rFonts w:ascii="Times New Roman" w:hAnsi="Times New Roman"/>
                          <w:sz w:val="16"/>
                          <w:szCs w:val="16"/>
                        </w:rPr>
                      </w:pPr>
                      <w:r w:rsidRPr="00825BCF">
                        <w:rPr>
                          <w:rFonts w:ascii="Times New Roman" w:hAnsi="Times New Roman"/>
                          <w:sz w:val="16"/>
                          <w:szCs w:val="16"/>
                        </w:rPr>
                        <w:t xml:space="preserve">Quelle: IW </w:t>
                      </w:r>
                      <w:proofErr w:type="spellStart"/>
                      <w:r w:rsidRPr="00825BCF">
                        <w:rPr>
                          <w:rFonts w:ascii="Times New Roman" w:hAnsi="Times New Roman"/>
                          <w:sz w:val="16"/>
                          <w:szCs w:val="16"/>
                        </w:rPr>
                        <w:t>Consult</w:t>
                      </w:r>
                      <w:proofErr w:type="spellEnd"/>
                      <w:r w:rsidRPr="00825BCF">
                        <w:rPr>
                          <w:rFonts w:ascii="Times New Roman" w:hAnsi="Times New Roman"/>
                          <w:sz w:val="16"/>
                          <w:szCs w:val="16"/>
                        </w:rPr>
                        <w:t>, 2011</w:t>
                      </w:r>
                    </w:p>
                  </w:txbxContent>
                </v:textbox>
                <w10:wrap type="square"/>
              </v:shape>
            </w:pict>
          </mc:Fallback>
        </mc:AlternateContent>
      </w:r>
    </w:p>
    <w:p w:rsidR="007160DF" w:rsidRDefault="007160DF" w:rsidP="007160DF">
      <w:pPr>
        <w:spacing w:line="360" w:lineRule="exact"/>
        <w:jc w:val="both"/>
        <w:rPr>
          <w:rFonts w:ascii="Times New Roman" w:hAnsi="Times New Roman"/>
          <w:sz w:val="24"/>
        </w:rPr>
      </w:pPr>
      <w:r w:rsidRPr="00B56956">
        <w:rPr>
          <w:rFonts w:ascii="Times New Roman" w:hAnsi="Times New Roman"/>
          <w:sz w:val="24"/>
          <w:szCs w:val="24"/>
        </w:rPr>
        <w:t>Al</w:t>
      </w:r>
      <w:r w:rsidRPr="00EF1841">
        <w:rPr>
          <w:rFonts w:ascii="Times New Roman" w:hAnsi="Times New Roman"/>
          <w:sz w:val="24"/>
        </w:rPr>
        <w:t>le Ergebnisse werden hochgerechnet, wobei der betrachtete Teil der Wirtschaft in vier Branchengruppen (Chemie, Maschinenbau, Elektroindustrie und Fahrzeugbau; Metalle</w:t>
      </w:r>
      <w:r w:rsidRPr="00EF1841">
        <w:rPr>
          <w:rFonts w:ascii="Times New Roman" w:hAnsi="Times New Roman"/>
          <w:sz w:val="24"/>
        </w:rPr>
        <w:t>r</w:t>
      </w:r>
      <w:r w:rsidRPr="00EF1841">
        <w:rPr>
          <w:rFonts w:ascii="Times New Roman" w:hAnsi="Times New Roman"/>
          <w:sz w:val="24"/>
        </w:rPr>
        <w:t>zeugnisse, -bearbeitung und Sonstige Industrie; Logistik und Bauwirtschaft sowie sonstige unternehmensnahe Dienstleistungen) und zwei Unternehmensgrößenklassen (gespal</w:t>
      </w:r>
      <w:r>
        <w:rPr>
          <w:rFonts w:ascii="Times New Roman" w:hAnsi="Times New Roman"/>
          <w:sz w:val="24"/>
        </w:rPr>
        <w:t xml:space="preserve">ten an </w:t>
      </w:r>
      <w:r>
        <w:rPr>
          <w:rFonts w:ascii="Times New Roman" w:hAnsi="Times New Roman"/>
          <w:sz w:val="24"/>
        </w:rPr>
        <w:lastRenderedPageBreak/>
        <w:t>der 10-Millionen-Euro-</w:t>
      </w:r>
      <w:r w:rsidRPr="00EF1841">
        <w:rPr>
          <w:rFonts w:ascii="Times New Roman" w:hAnsi="Times New Roman"/>
          <w:sz w:val="24"/>
        </w:rPr>
        <w:t>Umsatzgrenze) unterteilt wird. Dabei wird umsatzgewichtet hoc</w:t>
      </w:r>
      <w:r w:rsidRPr="00EF1841">
        <w:rPr>
          <w:rFonts w:ascii="Times New Roman" w:hAnsi="Times New Roman"/>
          <w:sz w:val="24"/>
        </w:rPr>
        <w:t>h</w:t>
      </w:r>
      <w:r w:rsidRPr="00EF1841">
        <w:rPr>
          <w:rFonts w:ascii="Times New Roman" w:hAnsi="Times New Roman"/>
          <w:sz w:val="24"/>
        </w:rPr>
        <w:t>gerechnet. Bei der Darstellung der Befragungsergebnisse werden zur Vereinfachung die Begriffe Unternehmen oder Unternehmensanteile genutzt. Wenn nicht ausdrücklich darauf hingewiesen wird</w:t>
      </w:r>
      <w:r>
        <w:rPr>
          <w:rFonts w:ascii="Times New Roman" w:hAnsi="Times New Roman"/>
          <w:sz w:val="24"/>
        </w:rPr>
        <w:t xml:space="preserve">, sind </w:t>
      </w:r>
      <w:r w:rsidR="00C2047E">
        <w:rPr>
          <w:rFonts w:ascii="Times New Roman" w:hAnsi="Times New Roman"/>
          <w:sz w:val="24"/>
        </w:rPr>
        <w:t xml:space="preserve">immer </w:t>
      </w:r>
      <w:r>
        <w:rPr>
          <w:rFonts w:ascii="Times New Roman" w:hAnsi="Times New Roman"/>
          <w:sz w:val="24"/>
        </w:rPr>
        <w:t>repräsentativ hoch</w:t>
      </w:r>
      <w:r w:rsidRPr="00EF1841">
        <w:rPr>
          <w:rFonts w:ascii="Times New Roman" w:hAnsi="Times New Roman"/>
          <w:sz w:val="24"/>
        </w:rPr>
        <w:t>gerechnete, umsatzgewichtete Anteile gemeint.</w:t>
      </w:r>
      <w:r>
        <w:rPr>
          <w:rFonts w:ascii="Times New Roman" w:hAnsi="Times New Roman"/>
          <w:sz w:val="24"/>
        </w:rPr>
        <w:t xml:space="preserve"> </w:t>
      </w:r>
      <w:r w:rsidRPr="00EF1841">
        <w:rPr>
          <w:rFonts w:ascii="Times New Roman" w:hAnsi="Times New Roman"/>
          <w:sz w:val="24"/>
        </w:rPr>
        <w:t>Die drei Merkmale für hybride Wertschöpfung wurden schon genannt: Industri</w:t>
      </w:r>
      <w:r w:rsidRPr="00EF1841">
        <w:rPr>
          <w:rFonts w:ascii="Times New Roman" w:hAnsi="Times New Roman"/>
          <w:sz w:val="24"/>
        </w:rPr>
        <w:t>e</w:t>
      </w:r>
      <w:r w:rsidRPr="00EF1841">
        <w:rPr>
          <w:rFonts w:ascii="Times New Roman" w:hAnsi="Times New Roman"/>
          <w:sz w:val="24"/>
        </w:rPr>
        <w:t>bezug, Tätigkeitsprofil und Garantieleistungen</w:t>
      </w:r>
      <w:r>
        <w:rPr>
          <w:rFonts w:ascii="Times New Roman" w:hAnsi="Times New Roman"/>
          <w:sz w:val="24"/>
        </w:rPr>
        <w:t xml:space="preserve"> (Abbildung 1</w:t>
      </w:r>
      <w:r w:rsidRPr="00EF1841">
        <w:rPr>
          <w:rFonts w:ascii="Times New Roman" w:hAnsi="Times New Roman"/>
          <w:sz w:val="24"/>
        </w:rPr>
        <w:t xml:space="preserve">). </w:t>
      </w:r>
    </w:p>
    <w:p w:rsidR="007160DF" w:rsidRPr="00EF1841" w:rsidRDefault="007160DF" w:rsidP="007160DF">
      <w:pPr>
        <w:spacing w:line="360" w:lineRule="exact"/>
        <w:jc w:val="both"/>
        <w:rPr>
          <w:rFonts w:ascii="Times New Roman" w:hAnsi="Times New Roman"/>
          <w:sz w:val="24"/>
        </w:rPr>
      </w:pPr>
    </w:p>
    <w:p w:rsidR="00246CE0" w:rsidRDefault="00851863" w:rsidP="00EF1841">
      <w:pPr>
        <w:spacing w:line="360" w:lineRule="exact"/>
        <w:jc w:val="both"/>
        <w:rPr>
          <w:rFonts w:ascii="Times New Roman" w:hAnsi="Times New Roman"/>
          <w:sz w:val="24"/>
        </w:rPr>
      </w:pPr>
      <w:r w:rsidRPr="00EF1841">
        <w:rPr>
          <w:rFonts w:ascii="Times New Roman" w:hAnsi="Times New Roman"/>
          <w:sz w:val="24"/>
        </w:rPr>
        <w:t>Industriebezug</w:t>
      </w:r>
      <w:r w:rsidR="007B49A9" w:rsidRPr="00EF1841">
        <w:rPr>
          <w:rFonts w:ascii="Times New Roman" w:hAnsi="Times New Roman"/>
          <w:sz w:val="24"/>
        </w:rPr>
        <w:t xml:space="preserve"> als erstes Merkmal</w:t>
      </w:r>
      <w:r w:rsidRPr="00EF1841">
        <w:rPr>
          <w:rFonts w:ascii="Times New Roman" w:hAnsi="Times New Roman"/>
          <w:sz w:val="24"/>
        </w:rPr>
        <w:t xml:space="preserve"> bedeutet in diesem Zusammenhang, dass </w:t>
      </w:r>
      <w:r w:rsidR="002259DA" w:rsidRPr="00EF1841">
        <w:rPr>
          <w:rFonts w:ascii="Times New Roman" w:hAnsi="Times New Roman"/>
          <w:sz w:val="24"/>
        </w:rPr>
        <w:t xml:space="preserve">Unternehmen im Industriegeschäft tätig sein müssen und dementsprechend unabhängig vom Ausmaß Umsätze mit Industrieprodukten oder integrierten Industrieprodukten generieren müssen. </w:t>
      </w:r>
      <w:r w:rsidR="00C5280E">
        <w:rPr>
          <w:rFonts w:ascii="Times New Roman" w:hAnsi="Times New Roman"/>
          <w:sz w:val="24"/>
        </w:rPr>
        <w:t>Drei Viertel</w:t>
      </w:r>
      <w:r w:rsidR="002259DA" w:rsidRPr="00483098">
        <w:rPr>
          <w:rFonts w:ascii="Times New Roman" w:hAnsi="Times New Roman"/>
          <w:sz w:val="24"/>
        </w:rPr>
        <w:t xml:space="preserve"> der Wirtschaft erfüllte</w:t>
      </w:r>
      <w:r w:rsidR="00B96708">
        <w:rPr>
          <w:rFonts w:ascii="Times New Roman" w:hAnsi="Times New Roman"/>
          <w:sz w:val="24"/>
        </w:rPr>
        <w:t>n</w:t>
      </w:r>
      <w:r w:rsidR="002259DA" w:rsidRPr="00483098">
        <w:rPr>
          <w:rFonts w:ascii="Times New Roman" w:hAnsi="Times New Roman"/>
          <w:sz w:val="24"/>
        </w:rPr>
        <w:t xml:space="preserve"> dieses Kriterium.</w:t>
      </w:r>
    </w:p>
    <w:p w:rsidR="003C539B" w:rsidRPr="00483098" w:rsidRDefault="003C539B" w:rsidP="00EF1841">
      <w:pPr>
        <w:spacing w:line="360" w:lineRule="exact"/>
        <w:jc w:val="both"/>
        <w:rPr>
          <w:rFonts w:ascii="Times New Roman" w:hAnsi="Times New Roman"/>
          <w:sz w:val="24"/>
        </w:rPr>
      </w:pPr>
    </w:p>
    <w:p w:rsidR="007B49A9" w:rsidRDefault="007B49A9" w:rsidP="00EF1841">
      <w:pPr>
        <w:spacing w:line="360" w:lineRule="exact"/>
        <w:jc w:val="both"/>
        <w:rPr>
          <w:rFonts w:ascii="Times New Roman" w:hAnsi="Times New Roman"/>
          <w:sz w:val="24"/>
        </w:rPr>
      </w:pPr>
      <w:r w:rsidRPr="00EF1841">
        <w:rPr>
          <w:rFonts w:ascii="Times New Roman" w:hAnsi="Times New Roman"/>
          <w:sz w:val="24"/>
        </w:rPr>
        <w:t>Als zweites</w:t>
      </w:r>
      <w:r w:rsidR="005B553A">
        <w:rPr>
          <w:rFonts w:ascii="Times New Roman" w:hAnsi="Times New Roman"/>
          <w:sz w:val="24"/>
        </w:rPr>
        <w:t xml:space="preserve"> Merkmal</w:t>
      </w:r>
      <w:r w:rsidRPr="00EF1841">
        <w:rPr>
          <w:rFonts w:ascii="Times New Roman" w:hAnsi="Times New Roman"/>
          <w:sz w:val="24"/>
        </w:rPr>
        <w:t xml:space="preserve"> muss das Tätigkeitsspektrum eines Unternehmens analysiert werden. Eine notwendige Bedingung für ein hybrides Geschäftsmodell besteht darin, dass das U</w:t>
      </w:r>
      <w:r w:rsidRPr="00EF1841">
        <w:rPr>
          <w:rFonts w:ascii="Times New Roman" w:hAnsi="Times New Roman"/>
          <w:sz w:val="24"/>
        </w:rPr>
        <w:t>n</w:t>
      </w:r>
      <w:r w:rsidRPr="00EF1841">
        <w:rPr>
          <w:rFonts w:ascii="Times New Roman" w:hAnsi="Times New Roman"/>
          <w:sz w:val="24"/>
        </w:rPr>
        <w:t>ternehmen neben seinem Kerngeschäft andere Tätigkeiten in der Wertschöpfungskette b</w:t>
      </w:r>
      <w:r w:rsidRPr="00EF1841">
        <w:rPr>
          <w:rFonts w:ascii="Times New Roman" w:hAnsi="Times New Roman"/>
          <w:sz w:val="24"/>
        </w:rPr>
        <w:t>e</w:t>
      </w:r>
      <w:r w:rsidRPr="00EF1841">
        <w:rPr>
          <w:rFonts w:ascii="Times New Roman" w:hAnsi="Times New Roman"/>
          <w:sz w:val="24"/>
        </w:rPr>
        <w:t xml:space="preserve">arbeiten muss. Ein Unternehmen mit </w:t>
      </w:r>
      <w:r w:rsidR="003B48D4">
        <w:rPr>
          <w:rFonts w:ascii="Times New Roman" w:hAnsi="Times New Roman"/>
          <w:sz w:val="24"/>
        </w:rPr>
        <w:t xml:space="preserve">dem </w:t>
      </w:r>
      <w:r w:rsidRPr="00EF1841">
        <w:rPr>
          <w:rFonts w:ascii="Times New Roman" w:hAnsi="Times New Roman"/>
          <w:sz w:val="24"/>
        </w:rPr>
        <w:t>Schwerpunkt der Herstellung von Industriepr</w:t>
      </w:r>
      <w:r w:rsidRPr="00EF1841">
        <w:rPr>
          <w:rFonts w:ascii="Times New Roman" w:hAnsi="Times New Roman"/>
          <w:sz w:val="24"/>
        </w:rPr>
        <w:t>o</w:t>
      </w:r>
      <w:r w:rsidRPr="00EF1841">
        <w:rPr>
          <w:rFonts w:ascii="Times New Roman" w:hAnsi="Times New Roman"/>
          <w:sz w:val="24"/>
        </w:rPr>
        <w:t>dukten muss daneben auch produktbegleitende Dienstleistungen anbieten, die in der Vo</w:t>
      </w:r>
      <w:r w:rsidRPr="00EF1841">
        <w:rPr>
          <w:rFonts w:ascii="Times New Roman" w:hAnsi="Times New Roman"/>
          <w:sz w:val="24"/>
        </w:rPr>
        <w:t>r</w:t>
      </w:r>
      <w:r w:rsidRPr="00EF1841">
        <w:rPr>
          <w:rFonts w:ascii="Times New Roman" w:hAnsi="Times New Roman"/>
          <w:sz w:val="24"/>
        </w:rPr>
        <w:t>phase – also vor der eigentlichen Produktion – oder in der Nutzungsphase des Produk</w:t>
      </w:r>
      <w:r w:rsidR="000B0B6A">
        <w:rPr>
          <w:rFonts w:ascii="Times New Roman" w:hAnsi="Times New Roman"/>
          <w:sz w:val="24"/>
        </w:rPr>
        <w:t>t</w:t>
      </w:r>
      <w:r w:rsidRPr="00EF1841">
        <w:rPr>
          <w:rFonts w:ascii="Times New Roman" w:hAnsi="Times New Roman"/>
          <w:sz w:val="24"/>
        </w:rPr>
        <w:t>s e</w:t>
      </w:r>
      <w:r w:rsidRPr="00EF1841">
        <w:rPr>
          <w:rFonts w:ascii="Times New Roman" w:hAnsi="Times New Roman"/>
          <w:sz w:val="24"/>
        </w:rPr>
        <w:t>r</w:t>
      </w:r>
      <w:r w:rsidRPr="00EF1841">
        <w:rPr>
          <w:rFonts w:ascii="Times New Roman" w:hAnsi="Times New Roman"/>
          <w:sz w:val="24"/>
        </w:rPr>
        <w:t>bracht werden. Ein Dienstleistungsunternehmen darf, um als hybrid zu gelten, nicht nur e</w:t>
      </w:r>
      <w:r w:rsidRPr="00EF1841">
        <w:rPr>
          <w:rFonts w:ascii="Times New Roman" w:hAnsi="Times New Roman"/>
          <w:sz w:val="24"/>
        </w:rPr>
        <w:t>i</w:t>
      </w:r>
      <w:r w:rsidRPr="00EF1841">
        <w:rPr>
          <w:rFonts w:ascii="Times New Roman" w:hAnsi="Times New Roman"/>
          <w:sz w:val="24"/>
        </w:rPr>
        <w:t>ne Dienstleistung (z. B. Werbung) anbieten, sondern muss mehrere Tätigkeiten – im Idea</w:t>
      </w:r>
      <w:r w:rsidRPr="00EF1841">
        <w:rPr>
          <w:rFonts w:ascii="Times New Roman" w:hAnsi="Times New Roman"/>
          <w:sz w:val="24"/>
        </w:rPr>
        <w:t>l</w:t>
      </w:r>
      <w:r w:rsidRPr="00EF1841">
        <w:rPr>
          <w:rFonts w:ascii="Times New Roman" w:hAnsi="Times New Roman"/>
          <w:sz w:val="24"/>
        </w:rPr>
        <w:t xml:space="preserve">fall auch </w:t>
      </w:r>
      <w:r w:rsidR="00C2047E">
        <w:rPr>
          <w:rFonts w:ascii="Times New Roman" w:hAnsi="Times New Roman"/>
          <w:sz w:val="24"/>
        </w:rPr>
        <w:t>die</w:t>
      </w:r>
      <w:r w:rsidR="002B54FE">
        <w:rPr>
          <w:rFonts w:ascii="Times New Roman" w:hAnsi="Times New Roman"/>
          <w:sz w:val="24"/>
        </w:rPr>
        <w:t xml:space="preserve"> </w:t>
      </w:r>
      <w:r w:rsidRPr="00EF1841">
        <w:rPr>
          <w:rFonts w:ascii="Times New Roman" w:hAnsi="Times New Roman"/>
          <w:sz w:val="24"/>
        </w:rPr>
        <w:t>Produktion – in seinem Portfolio haben.</w:t>
      </w:r>
    </w:p>
    <w:p w:rsidR="00B56956" w:rsidRDefault="00B56956" w:rsidP="00EF1841">
      <w:pPr>
        <w:spacing w:line="360" w:lineRule="exact"/>
        <w:jc w:val="both"/>
        <w:rPr>
          <w:rFonts w:ascii="Times New Roman" w:hAnsi="Times New Roman"/>
          <w:sz w:val="24"/>
        </w:rPr>
      </w:pPr>
    </w:p>
    <w:p w:rsidR="00B56956" w:rsidRPr="00EF1841" w:rsidRDefault="00B56956" w:rsidP="00B56956">
      <w:pPr>
        <w:spacing w:line="360" w:lineRule="exact"/>
        <w:jc w:val="both"/>
        <w:rPr>
          <w:rFonts w:ascii="Times New Roman" w:hAnsi="Times New Roman"/>
          <w:sz w:val="24"/>
        </w:rPr>
      </w:pPr>
      <w:r w:rsidRPr="00EF1841">
        <w:rPr>
          <w:rFonts w:ascii="Times New Roman" w:hAnsi="Times New Roman"/>
          <w:sz w:val="24"/>
        </w:rPr>
        <w:t>Um dieses Tätigkeitsprofil empirisch zu erfassen, sollten die Unternehmen in der Befr</w:t>
      </w:r>
      <w:r w:rsidRPr="00EF1841">
        <w:rPr>
          <w:rFonts w:ascii="Times New Roman" w:hAnsi="Times New Roman"/>
          <w:sz w:val="24"/>
        </w:rPr>
        <w:t>a</w:t>
      </w:r>
      <w:r>
        <w:rPr>
          <w:rFonts w:ascii="Times New Roman" w:hAnsi="Times New Roman"/>
          <w:sz w:val="24"/>
        </w:rPr>
        <w:t>gung an</w:t>
      </w:r>
      <w:r w:rsidRPr="00EF1841">
        <w:rPr>
          <w:rFonts w:ascii="Times New Roman" w:hAnsi="Times New Roman"/>
          <w:sz w:val="24"/>
        </w:rPr>
        <w:t xml:space="preserve">geben, welche von insgesamt 20 Leistungen sie neben ihrem Kerngeschäft – der Herstellung von Industrieprodukten oder </w:t>
      </w:r>
      <w:r>
        <w:rPr>
          <w:rFonts w:ascii="Times New Roman" w:hAnsi="Times New Roman"/>
          <w:sz w:val="24"/>
        </w:rPr>
        <w:t xml:space="preserve">der </w:t>
      </w:r>
      <w:r w:rsidRPr="00EF1841">
        <w:rPr>
          <w:rFonts w:ascii="Times New Roman" w:hAnsi="Times New Roman"/>
          <w:sz w:val="24"/>
        </w:rPr>
        <w:t>Erbringung von Dienstleistungen – zusätzlich anbieten</w:t>
      </w:r>
      <w:r>
        <w:rPr>
          <w:rFonts w:ascii="Times New Roman" w:hAnsi="Times New Roman"/>
          <w:sz w:val="24"/>
        </w:rPr>
        <w:t xml:space="preserve"> (Übersicht 4)</w:t>
      </w:r>
      <w:r w:rsidRPr="00EF1841">
        <w:rPr>
          <w:rFonts w:ascii="Times New Roman" w:hAnsi="Times New Roman"/>
          <w:sz w:val="24"/>
        </w:rPr>
        <w:t xml:space="preserve">. </w:t>
      </w:r>
      <w:r>
        <w:rPr>
          <w:rFonts w:ascii="Times New Roman" w:hAnsi="Times New Roman"/>
          <w:sz w:val="24"/>
        </w:rPr>
        <w:t>Die ersten sieben dieser 20</w:t>
      </w:r>
      <w:r w:rsidRPr="00EF1841">
        <w:rPr>
          <w:rFonts w:ascii="Times New Roman" w:hAnsi="Times New Roman"/>
          <w:sz w:val="24"/>
        </w:rPr>
        <w:t xml:space="preserve"> Tätigkeiten können der Vorphase der Fertigung eines Industrie</w:t>
      </w:r>
      <w:r>
        <w:rPr>
          <w:rFonts w:ascii="Times New Roman" w:hAnsi="Times New Roman"/>
          <w:sz w:val="24"/>
        </w:rPr>
        <w:t>produkt</w:t>
      </w:r>
      <w:r w:rsidRPr="00EF1841">
        <w:rPr>
          <w:rFonts w:ascii="Times New Roman" w:hAnsi="Times New Roman"/>
          <w:sz w:val="24"/>
        </w:rPr>
        <w:t>s oder der Bereitstellung einer Die</w:t>
      </w:r>
      <w:r>
        <w:rPr>
          <w:rFonts w:ascii="Times New Roman" w:hAnsi="Times New Roman"/>
          <w:sz w:val="24"/>
        </w:rPr>
        <w:t>nstleistung zugeordnet werden, d</w:t>
      </w:r>
      <w:r w:rsidRPr="00EF1841">
        <w:rPr>
          <w:rFonts w:ascii="Times New Roman" w:hAnsi="Times New Roman"/>
          <w:sz w:val="24"/>
        </w:rPr>
        <w:t xml:space="preserve">ie restlichen </w:t>
      </w:r>
      <w:r>
        <w:rPr>
          <w:rFonts w:ascii="Times New Roman" w:hAnsi="Times New Roman"/>
          <w:sz w:val="24"/>
        </w:rPr>
        <w:t>13 </w:t>
      </w:r>
      <w:r w:rsidRPr="00EF1841">
        <w:rPr>
          <w:rFonts w:ascii="Times New Roman" w:hAnsi="Times New Roman"/>
          <w:sz w:val="24"/>
        </w:rPr>
        <w:t xml:space="preserve">Tätigkeiten gehören eher der Nutzungsphase an. </w:t>
      </w:r>
    </w:p>
    <w:p w:rsidR="00B56956" w:rsidRDefault="00B56956" w:rsidP="00B56956">
      <w:pPr>
        <w:spacing w:line="360" w:lineRule="exact"/>
        <w:jc w:val="both"/>
        <w:rPr>
          <w:rFonts w:ascii="Times New Roman" w:hAnsi="Times New Roman"/>
          <w:sz w:val="24"/>
        </w:rPr>
      </w:pPr>
    </w:p>
    <w:p w:rsidR="00B56956" w:rsidRPr="00EF1841" w:rsidRDefault="00B56956" w:rsidP="00B56956">
      <w:pPr>
        <w:spacing w:line="360" w:lineRule="exact"/>
        <w:jc w:val="both"/>
        <w:rPr>
          <w:rFonts w:ascii="Times New Roman" w:hAnsi="Times New Roman"/>
          <w:sz w:val="24"/>
        </w:rPr>
      </w:pPr>
      <w:r w:rsidRPr="00EF1841">
        <w:rPr>
          <w:rFonts w:ascii="Times New Roman" w:hAnsi="Times New Roman"/>
          <w:sz w:val="24"/>
        </w:rPr>
        <w:t>Die grundlegende Hypothese lautet, dass ein Unternehmen umso eher als hybrid bezeic</w:t>
      </w:r>
      <w:r w:rsidRPr="00EF1841">
        <w:rPr>
          <w:rFonts w:ascii="Times New Roman" w:hAnsi="Times New Roman"/>
          <w:sz w:val="24"/>
        </w:rPr>
        <w:t>h</w:t>
      </w:r>
      <w:r w:rsidRPr="00EF1841">
        <w:rPr>
          <w:rFonts w:ascii="Times New Roman" w:hAnsi="Times New Roman"/>
          <w:sz w:val="24"/>
        </w:rPr>
        <w:t xml:space="preserve">net werden kann, je mehr dieser </w:t>
      </w:r>
      <w:r>
        <w:rPr>
          <w:rFonts w:ascii="Times New Roman" w:hAnsi="Times New Roman"/>
          <w:sz w:val="24"/>
        </w:rPr>
        <w:t>20</w:t>
      </w:r>
      <w:r w:rsidRPr="00EF1841">
        <w:rPr>
          <w:rFonts w:ascii="Times New Roman" w:hAnsi="Times New Roman"/>
          <w:sz w:val="24"/>
        </w:rPr>
        <w:t xml:space="preserve"> Tätigkeiten oder Leistungen von diesem Unternehmen angeboten werden. Dabei wird bewusst von dem Kerngeschäft der jeweiligen Unterne</w:t>
      </w:r>
      <w:r w:rsidRPr="00EF1841">
        <w:rPr>
          <w:rFonts w:ascii="Times New Roman" w:hAnsi="Times New Roman"/>
          <w:sz w:val="24"/>
        </w:rPr>
        <w:t>h</w:t>
      </w:r>
      <w:r w:rsidRPr="00EF1841">
        <w:rPr>
          <w:rFonts w:ascii="Times New Roman" w:hAnsi="Times New Roman"/>
          <w:sz w:val="24"/>
        </w:rPr>
        <w:t>men – also der Herstellung von Industrieprodukten oder der Erbringung von Dienstleistu</w:t>
      </w:r>
      <w:r w:rsidRPr="00EF1841">
        <w:rPr>
          <w:rFonts w:ascii="Times New Roman" w:hAnsi="Times New Roman"/>
          <w:sz w:val="24"/>
        </w:rPr>
        <w:t>n</w:t>
      </w:r>
      <w:r w:rsidRPr="00EF1841">
        <w:rPr>
          <w:rFonts w:ascii="Times New Roman" w:hAnsi="Times New Roman"/>
          <w:sz w:val="24"/>
        </w:rPr>
        <w:t>gen einschließlich Handwerk und Bauwirtschaft – abstrahiert. Es geht um zusätzliche Pr</w:t>
      </w:r>
      <w:r w:rsidRPr="00EF1841">
        <w:rPr>
          <w:rFonts w:ascii="Times New Roman" w:hAnsi="Times New Roman"/>
          <w:sz w:val="24"/>
        </w:rPr>
        <w:t>o</w:t>
      </w:r>
      <w:r w:rsidRPr="00EF1841">
        <w:rPr>
          <w:rFonts w:ascii="Times New Roman" w:hAnsi="Times New Roman"/>
          <w:sz w:val="24"/>
        </w:rPr>
        <w:t>dukte oder Dienstleistungen.</w:t>
      </w:r>
    </w:p>
    <w:p w:rsidR="007160DF" w:rsidRPr="00EF1841" w:rsidRDefault="007160DF" w:rsidP="00EF1841">
      <w:pPr>
        <w:spacing w:line="360" w:lineRule="exact"/>
        <w:jc w:val="both"/>
        <w:rPr>
          <w:rFonts w:ascii="Times New Roman" w:hAnsi="Times New Roman"/>
          <w:sz w:val="24"/>
        </w:rPr>
      </w:pPr>
    </w:p>
    <w:p w:rsidR="00B56956" w:rsidRDefault="00B56956">
      <w:pPr>
        <w:rPr>
          <w:rFonts w:ascii="Times New Roman" w:hAnsi="Times New Roman"/>
        </w:rPr>
      </w:pPr>
      <w:r>
        <w:rPr>
          <w:rFonts w:ascii="Times New Roman" w:hAnsi="Times New Roman"/>
        </w:rPr>
        <w:br w:type="page"/>
      </w:r>
    </w:p>
    <w:p w:rsidR="00633967" w:rsidRPr="00FE78DC" w:rsidRDefault="00B96708" w:rsidP="00633967">
      <w:pPr>
        <w:jc w:val="both"/>
        <w:rPr>
          <w:rFonts w:ascii="Times New Roman" w:hAnsi="Times New Roman"/>
        </w:rPr>
      </w:pPr>
      <w:r>
        <w:rPr>
          <w:rFonts w:ascii="Times New Roman" w:hAnsi="Times New Roman"/>
        </w:rPr>
        <w:lastRenderedPageBreak/>
        <w:t>Übersicht 4</w:t>
      </w:r>
    </w:p>
    <w:p w:rsidR="00633967" w:rsidRPr="00633967" w:rsidRDefault="00633967" w:rsidP="00633967">
      <w:pPr>
        <w:spacing w:before="120"/>
        <w:jc w:val="both"/>
        <w:rPr>
          <w:rFonts w:ascii="Times New Roman" w:hAnsi="Times New Roman"/>
          <w:b/>
          <w:sz w:val="32"/>
          <w:szCs w:val="32"/>
        </w:rPr>
      </w:pPr>
      <w:r w:rsidRPr="00633967">
        <w:rPr>
          <w:rFonts w:ascii="Times New Roman" w:hAnsi="Times New Roman"/>
          <w:b/>
          <w:sz w:val="32"/>
          <w:szCs w:val="32"/>
        </w:rPr>
        <w:t>Tätigkeiten der Wertschöpfungskette</w:t>
      </w:r>
    </w:p>
    <w:p w:rsidR="00633967" w:rsidRPr="005B553A" w:rsidRDefault="00633967" w:rsidP="00633967">
      <w:pPr>
        <w:jc w:val="both"/>
        <w:rPr>
          <w:rFonts w:ascii="Times New Roman" w:hAnsi="Times New Roman"/>
        </w:rPr>
      </w:pPr>
    </w:p>
    <w:tbl>
      <w:tblPr>
        <w:tblStyle w:val="Tabellenraster"/>
        <w:tblW w:w="0" w:type="auto"/>
        <w:tblLook w:val="04A0" w:firstRow="1" w:lastRow="0" w:firstColumn="1" w:lastColumn="0" w:noHBand="0" w:noVBand="1"/>
      </w:tblPr>
      <w:tblGrid>
        <w:gridCol w:w="4928"/>
        <w:gridCol w:w="3999"/>
      </w:tblGrid>
      <w:tr w:rsidR="00633967" w:rsidTr="00FE78DC">
        <w:tc>
          <w:tcPr>
            <w:tcW w:w="4928" w:type="dxa"/>
            <w:tcBorders>
              <w:bottom w:val="single" w:sz="4" w:space="0" w:color="auto"/>
            </w:tcBorders>
            <w:shd w:val="clear" w:color="auto" w:fill="auto"/>
          </w:tcPr>
          <w:p w:rsidR="00633967" w:rsidRPr="00F63296" w:rsidRDefault="00633967" w:rsidP="00F63296">
            <w:pPr>
              <w:spacing w:before="60" w:after="60" w:line="240" w:lineRule="auto"/>
              <w:jc w:val="center"/>
              <w:rPr>
                <w:b/>
                <w:sz w:val="22"/>
                <w:szCs w:val="22"/>
              </w:rPr>
            </w:pPr>
            <w:r w:rsidRPr="00F63296">
              <w:rPr>
                <w:b/>
                <w:sz w:val="22"/>
                <w:szCs w:val="22"/>
              </w:rPr>
              <w:t>Vorphase</w:t>
            </w:r>
          </w:p>
        </w:tc>
        <w:tc>
          <w:tcPr>
            <w:tcW w:w="3999" w:type="dxa"/>
            <w:tcBorders>
              <w:bottom w:val="single" w:sz="4" w:space="0" w:color="auto"/>
            </w:tcBorders>
            <w:shd w:val="clear" w:color="auto" w:fill="auto"/>
          </w:tcPr>
          <w:p w:rsidR="00633967" w:rsidRPr="00F63296" w:rsidRDefault="00633967" w:rsidP="00F63296">
            <w:pPr>
              <w:spacing w:before="60" w:after="60" w:line="240" w:lineRule="auto"/>
              <w:jc w:val="center"/>
              <w:rPr>
                <w:b/>
                <w:sz w:val="22"/>
                <w:szCs w:val="22"/>
              </w:rPr>
            </w:pPr>
            <w:r w:rsidRPr="00F63296">
              <w:rPr>
                <w:b/>
                <w:sz w:val="22"/>
                <w:szCs w:val="22"/>
              </w:rPr>
              <w:t>Nutzungsphase</w:t>
            </w:r>
          </w:p>
        </w:tc>
      </w:tr>
      <w:tr w:rsidR="00633967" w:rsidTr="00FE78DC">
        <w:tc>
          <w:tcPr>
            <w:tcW w:w="4928" w:type="dxa"/>
            <w:tcBorders>
              <w:top w:val="single" w:sz="4" w:space="0" w:color="auto"/>
              <w:left w:val="single" w:sz="4" w:space="0" w:color="auto"/>
              <w:bottom w:val="single" w:sz="4" w:space="0" w:color="auto"/>
              <w:right w:val="single" w:sz="4" w:space="0" w:color="auto"/>
            </w:tcBorders>
            <w:shd w:val="clear" w:color="auto" w:fill="auto"/>
          </w:tcPr>
          <w:p w:rsidR="00633967" w:rsidRDefault="001E51A9" w:rsidP="00E9472F">
            <w:pPr>
              <w:spacing w:before="60" w:after="60" w:line="240" w:lineRule="auto"/>
              <w:ind w:left="357" w:hanging="357"/>
              <w:rPr>
                <w:sz w:val="22"/>
                <w:szCs w:val="22"/>
              </w:rPr>
            </w:pPr>
            <w:r>
              <w:rPr>
                <w:sz w:val="22"/>
                <w:szCs w:val="22"/>
              </w:rPr>
              <w:t>1.</w:t>
            </w:r>
            <w:r>
              <w:rPr>
                <w:sz w:val="22"/>
                <w:szCs w:val="22"/>
              </w:rPr>
              <w:tab/>
            </w:r>
            <w:r w:rsidR="00633967" w:rsidRPr="00F63296">
              <w:rPr>
                <w:sz w:val="22"/>
                <w:szCs w:val="22"/>
              </w:rPr>
              <w:t>Markt- und Bedarfsanalysen</w:t>
            </w:r>
          </w:p>
          <w:p w:rsidR="00F63296" w:rsidRDefault="001E51A9" w:rsidP="00E9472F">
            <w:pPr>
              <w:spacing w:before="60" w:after="60" w:line="240" w:lineRule="auto"/>
              <w:ind w:left="357" w:hanging="357"/>
              <w:rPr>
                <w:sz w:val="22"/>
                <w:szCs w:val="22"/>
              </w:rPr>
            </w:pPr>
            <w:r>
              <w:rPr>
                <w:sz w:val="22"/>
                <w:szCs w:val="22"/>
              </w:rPr>
              <w:t>2.</w:t>
            </w:r>
            <w:r>
              <w:rPr>
                <w:sz w:val="22"/>
                <w:szCs w:val="22"/>
              </w:rPr>
              <w:tab/>
            </w:r>
            <w:r w:rsidR="00F63296" w:rsidRPr="00F63296">
              <w:rPr>
                <w:sz w:val="22"/>
                <w:szCs w:val="22"/>
              </w:rPr>
              <w:t>Beratung zu Pflichtenheften und zur Konfigur</w:t>
            </w:r>
            <w:r w:rsidR="00F63296" w:rsidRPr="00F63296">
              <w:rPr>
                <w:sz w:val="22"/>
                <w:szCs w:val="22"/>
              </w:rPr>
              <w:t>a</w:t>
            </w:r>
            <w:r w:rsidR="00F63296" w:rsidRPr="00F63296">
              <w:rPr>
                <w:sz w:val="22"/>
                <w:szCs w:val="22"/>
              </w:rPr>
              <w:t>tion von Produkten und Anlagen</w:t>
            </w:r>
          </w:p>
          <w:p w:rsidR="00F63296" w:rsidRDefault="001E51A9" w:rsidP="00E9472F">
            <w:pPr>
              <w:spacing w:before="60" w:after="60" w:line="240" w:lineRule="auto"/>
              <w:ind w:left="357" w:hanging="357"/>
              <w:rPr>
                <w:sz w:val="22"/>
                <w:szCs w:val="22"/>
              </w:rPr>
            </w:pPr>
            <w:r>
              <w:rPr>
                <w:sz w:val="22"/>
                <w:szCs w:val="22"/>
              </w:rPr>
              <w:t>3.</w:t>
            </w:r>
            <w:r>
              <w:rPr>
                <w:sz w:val="22"/>
                <w:szCs w:val="22"/>
              </w:rPr>
              <w:tab/>
            </w:r>
            <w:r w:rsidR="00F63296" w:rsidRPr="00F63296">
              <w:rPr>
                <w:sz w:val="22"/>
                <w:szCs w:val="22"/>
              </w:rPr>
              <w:t>Engineering- und Entwicklungsdienstleistungen</w:t>
            </w:r>
          </w:p>
          <w:p w:rsidR="00F63296" w:rsidRDefault="001E51A9" w:rsidP="00E9472F">
            <w:pPr>
              <w:spacing w:before="60" w:after="60" w:line="240" w:lineRule="auto"/>
              <w:ind w:left="357" w:hanging="357"/>
              <w:rPr>
                <w:sz w:val="22"/>
                <w:szCs w:val="22"/>
              </w:rPr>
            </w:pPr>
            <w:r>
              <w:rPr>
                <w:sz w:val="22"/>
                <w:szCs w:val="22"/>
              </w:rPr>
              <w:t>4.</w:t>
            </w:r>
            <w:r>
              <w:rPr>
                <w:sz w:val="22"/>
                <w:szCs w:val="22"/>
              </w:rPr>
              <w:tab/>
            </w:r>
            <w:r w:rsidR="00F63296" w:rsidRPr="00F63296">
              <w:rPr>
                <w:sz w:val="22"/>
                <w:szCs w:val="22"/>
              </w:rPr>
              <w:t>Beratung und Konzeption der Implementierung</w:t>
            </w:r>
          </w:p>
          <w:p w:rsidR="00F63296" w:rsidRDefault="001E51A9" w:rsidP="00E9472F">
            <w:pPr>
              <w:spacing w:before="60" w:after="60" w:line="240" w:lineRule="auto"/>
              <w:ind w:left="357" w:hanging="357"/>
              <w:rPr>
                <w:sz w:val="22"/>
                <w:szCs w:val="22"/>
              </w:rPr>
            </w:pPr>
            <w:r>
              <w:rPr>
                <w:sz w:val="22"/>
                <w:szCs w:val="22"/>
              </w:rPr>
              <w:t>5.</w:t>
            </w:r>
            <w:r>
              <w:rPr>
                <w:sz w:val="22"/>
                <w:szCs w:val="22"/>
              </w:rPr>
              <w:tab/>
            </w:r>
            <w:r w:rsidR="00F63296" w:rsidRPr="00F63296">
              <w:rPr>
                <w:sz w:val="22"/>
                <w:szCs w:val="22"/>
              </w:rPr>
              <w:t>Konzeption und Planung des Fertigungslayouts</w:t>
            </w:r>
          </w:p>
          <w:p w:rsidR="00F63296" w:rsidRDefault="001E51A9" w:rsidP="00E9472F">
            <w:pPr>
              <w:spacing w:before="60" w:after="60" w:line="240" w:lineRule="auto"/>
              <w:ind w:left="357" w:hanging="357"/>
              <w:rPr>
                <w:sz w:val="22"/>
                <w:szCs w:val="22"/>
              </w:rPr>
            </w:pPr>
            <w:r>
              <w:rPr>
                <w:sz w:val="22"/>
                <w:szCs w:val="22"/>
              </w:rPr>
              <w:t>6.</w:t>
            </w:r>
            <w:r>
              <w:rPr>
                <w:sz w:val="22"/>
                <w:szCs w:val="22"/>
              </w:rPr>
              <w:tab/>
            </w:r>
            <w:r w:rsidR="00F63296" w:rsidRPr="00F63296">
              <w:rPr>
                <w:sz w:val="22"/>
                <w:szCs w:val="22"/>
              </w:rPr>
              <w:t>Schulungen in der Vorphase</w:t>
            </w:r>
          </w:p>
          <w:p w:rsidR="00F63296" w:rsidRPr="00F63296" w:rsidRDefault="001E51A9" w:rsidP="00E9472F">
            <w:pPr>
              <w:spacing w:before="60" w:after="60" w:line="240" w:lineRule="auto"/>
              <w:ind w:left="357" w:hanging="357"/>
              <w:rPr>
                <w:sz w:val="22"/>
                <w:szCs w:val="22"/>
              </w:rPr>
            </w:pPr>
            <w:r>
              <w:rPr>
                <w:sz w:val="22"/>
                <w:szCs w:val="22"/>
              </w:rPr>
              <w:t>7.</w:t>
            </w:r>
            <w:r>
              <w:rPr>
                <w:sz w:val="22"/>
                <w:szCs w:val="22"/>
              </w:rPr>
              <w:tab/>
            </w:r>
            <w:r w:rsidR="00F63296" w:rsidRPr="00F63296">
              <w:rPr>
                <w:sz w:val="22"/>
                <w:szCs w:val="22"/>
              </w:rPr>
              <w:t>Finanzierungen</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633967" w:rsidRPr="001F1CCD" w:rsidRDefault="001E51A9" w:rsidP="00E9472F">
            <w:pPr>
              <w:spacing w:before="60" w:after="60" w:line="240" w:lineRule="auto"/>
              <w:ind w:left="357" w:hanging="357"/>
              <w:rPr>
                <w:sz w:val="22"/>
                <w:szCs w:val="22"/>
              </w:rPr>
            </w:pPr>
            <w:r>
              <w:rPr>
                <w:sz w:val="22"/>
                <w:szCs w:val="22"/>
              </w:rPr>
              <w:t>8.</w:t>
            </w:r>
            <w:r>
              <w:rPr>
                <w:sz w:val="22"/>
                <w:szCs w:val="22"/>
              </w:rPr>
              <w:tab/>
            </w:r>
            <w:r w:rsidR="00F63296" w:rsidRPr="001F1CCD">
              <w:rPr>
                <w:sz w:val="22"/>
                <w:szCs w:val="22"/>
              </w:rPr>
              <w:t>Montage</w:t>
            </w:r>
          </w:p>
          <w:p w:rsidR="00F63296" w:rsidRPr="001F1CCD" w:rsidRDefault="001E51A9" w:rsidP="00E9472F">
            <w:pPr>
              <w:spacing w:before="60" w:after="60" w:line="240" w:lineRule="auto"/>
              <w:ind w:left="357" w:hanging="357"/>
              <w:rPr>
                <w:sz w:val="22"/>
                <w:szCs w:val="22"/>
              </w:rPr>
            </w:pPr>
            <w:r>
              <w:rPr>
                <w:sz w:val="22"/>
                <w:szCs w:val="22"/>
              </w:rPr>
              <w:t>9.</w:t>
            </w:r>
            <w:r>
              <w:rPr>
                <w:sz w:val="22"/>
                <w:szCs w:val="22"/>
              </w:rPr>
              <w:tab/>
            </w:r>
            <w:r w:rsidR="00F63296" w:rsidRPr="001F1CCD">
              <w:rPr>
                <w:sz w:val="22"/>
                <w:szCs w:val="22"/>
              </w:rPr>
              <w:t>Logistik</w:t>
            </w:r>
          </w:p>
          <w:p w:rsidR="00F63296" w:rsidRPr="001F1CCD" w:rsidRDefault="001E51A9" w:rsidP="00E9472F">
            <w:pPr>
              <w:spacing w:before="60" w:after="60" w:line="240" w:lineRule="auto"/>
              <w:ind w:left="357" w:hanging="357"/>
              <w:rPr>
                <w:sz w:val="22"/>
                <w:szCs w:val="22"/>
              </w:rPr>
            </w:pPr>
            <w:r>
              <w:rPr>
                <w:sz w:val="22"/>
                <w:szCs w:val="22"/>
              </w:rPr>
              <w:t>10.</w:t>
            </w:r>
            <w:r>
              <w:rPr>
                <w:sz w:val="22"/>
                <w:szCs w:val="22"/>
              </w:rPr>
              <w:tab/>
            </w:r>
            <w:r w:rsidR="00F63296" w:rsidRPr="001F1CCD">
              <w:rPr>
                <w:sz w:val="22"/>
                <w:szCs w:val="22"/>
              </w:rPr>
              <w:t>Wartung</w:t>
            </w:r>
          </w:p>
          <w:p w:rsidR="00F63296" w:rsidRPr="001F1CCD" w:rsidRDefault="001E51A9" w:rsidP="00E9472F">
            <w:pPr>
              <w:spacing w:before="60" w:after="60" w:line="240" w:lineRule="auto"/>
              <w:ind w:left="357" w:hanging="357"/>
              <w:rPr>
                <w:sz w:val="22"/>
                <w:szCs w:val="22"/>
              </w:rPr>
            </w:pPr>
            <w:r>
              <w:rPr>
                <w:sz w:val="22"/>
                <w:szCs w:val="22"/>
              </w:rPr>
              <w:t>11.</w:t>
            </w:r>
            <w:r>
              <w:rPr>
                <w:sz w:val="22"/>
                <w:szCs w:val="22"/>
              </w:rPr>
              <w:tab/>
            </w:r>
            <w:r w:rsidR="00F63296" w:rsidRPr="001F1CCD">
              <w:rPr>
                <w:sz w:val="22"/>
                <w:szCs w:val="22"/>
              </w:rPr>
              <w:t>Material- und Ersatzteilmanagement</w:t>
            </w:r>
          </w:p>
          <w:p w:rsidR="00F63296" w:rsidRPr="001F1CCD" w:rsidRDefault="001E51A9" w:rsidP="00E9472F">
            <w:pPr>
              <w:spacing w:before="60" w:after="60" w:line="240" w:lineRule="auto"/>
              <w:ind w:left="357" w:hanging="357"/>
              <w:rPr>
                <w:sz w:val="22"/>
                <w:szCs w:val="22"/>
              </w:rPr>
            </w:pPr>
            <w:r>
              <w:rPr>
                <w:sz w:val="22"/>
                <w:szCs w:val="22"/>
              </w:rPr>
              <w:t>12.</w:t>
            </w:r>
            <w:r>
              <w:rPr>
                <w:sz w:val="22"/>
                <w:szCs w:val="22"/>
              </w:rPr>
              <w:tab/>
            </w:r>
            <w:r w:rsidR="00F63296" w:rsidRPr="001F1CCD">
              <w:rPr>
                <w:sz w:val="22"/>
                <w:szCs w:val="22"/>
              </w:rPr>
              <w:t>Reparaturen</w:t>
            </w:r>
          </w:p>
          <w:p w:rsidR="00F63296" w:rsidRPr="001F1CCD" w:rsidRDefault="001E51A9" w:rsidP="00E9472F">
            <w:pPr>
              <w:spacing w:before="60" w:after="60" w:line="240" w:lineRule="auto"/>
              <w:ind w:left="357" w:hanging="357"/>
              <w:rPr>
                <w:sz w:val="22"/>
                <w:szCs w:val="22"/>
              </w:rPr>
            </w:pPr>
            <w:r>
              <w:rPr>
                <w:sz w:val="22"/>
                <w:szCs w:val="22"/>
              </w:rPr>
              <w:t>13.</w:t>
            </w:r>
            <w:r>
              <w:rPr>
                <w:sz w:val="22"/>
                <w:szCs w:val="22"/>
              </w:rPr>
              <w:tab/>
            </w:r>
            <w:r w:rsidR="00F63296" w:rsidRPr="001F1CCD">
              <w:rPr>
                <w:sz w:val="22"/>
                <w:szCs w:val="22"/>
              </w:rPr>
              <w:t>Laufende Optimierungen, Beratungen und Entwicklungen nach der Erstlief</w:t>
            </w:r>
            <w:r w:rsidR="00F63296" w:rsidRPr="001F1CCD">
              <w:rPr>
                <w:sz w:val="22"/>
                <w:szCs w:val="22"/>
              </w:rPr>
              <w:t>e</w:t>
            </w:r>
            <w:r w:rsidR="00F63296" w:rsidRPr="001F1CCD">
              <w:rPr>
                <w:sz w:val="22"/>
                <w:szCs w:val="22"/>
              </w:rPr>
              <w:t>rung</w:t>
            </w:r>
          </w:p>
          <w:p w:rsidR="00F63296" w:rsidRPr="001F1CCD" w:rsidRDefault="001E51A9" w:rsidP="00E9472F">
            <w:pPr>
              <w:spacing w:before="60" w:after="60" w:line="240" w:lineRule="auto"/>
              <w:ind w:left="357" w:hanging="357"/>
              <w:rPr>
                <w:sz w:val="22"/>
                <w:szCs w:val="22"/>
              </w:rPr>
            </w:pPr>
            <w:r>
              <w:rPr>
                <w:sz w:val="22"/>
                <w:szCs w:val="22"/>
              </w:rPr>
              <w:t>14.</w:t>
            </w:r>
            <w:r>
              <w:rPr>
                <w:sz w:val="22"/>
                <w:szCs w:val="22"/>
              </w:rPr>
              <w:tab/>
            </w:r>
            <w:r w:rsidR="00FE78DC" w:rsidRPr="001F1CCD">
              <w:rPr>
                <w:sz w:val="22"/>
                <w:szCs w:val="22"/>
              </w:rPr>
              <w:t>Betrieb und Bedienung von Diens</w:t>
            </w:r>
            <w:r w:rsidR="00FE78DC" w:rsidRPr="001F1CCD">
              <w:rPr>
                <w:sz w:val="22"/>
                <w:szCs w:val="22"/>
              </w:rPr>
              <w:t>t</w:t>
            </w:r>
            <w:r w:rsidR="00FE78DC" w:rsidRPr="001F1CCD">
              <w:rPr>
                <w:sz w:val="22"/>
                <w:szCs w:val="22"/>
              </w:rPr>
              <w:t>leistungen, Produkten oder Anlagen</w:t>
            </w:r>
          </w:p>
          <w:p w:rsidR="00FE78DC" w:rsidRPr="001F1CCD" w:rsidRDefault="00B96708" w:rsidP="00E9472F">
            <w:pPr>
              <w:spacing w:before="60" w:after="60" w:line="240" w:lineRule="auto"/>
              <w:ind w:left="357" w:hanging="357"/>
              <w:rPr>
                <w:sz w:val="22"/>
                <w:szCs w:val="22"/>
              </w:rPr>
            </w:pPr>
            <w:r>
              <w:rPr>
                <w:sz w:val="22"/>
                <w:szCs w:val="22"/>
              </w:rPr>
              <w:t>15.</w:t>
            </w:r>
            <w:r w:rsidR="001E51A9">
              <w:rPr>
                <w:sz w:val="22"/>
                <w:szCs w:val="22"/>
              </w:rPr>
              <w:tab/>
            </w:r>
            <w:r w:rsidR="00FE78DC" w:rsidRPr="001F1CCD">
              <w:rPr>
                <w:sz w:val="22"/>
                <w:szCs w:val="22"/>
              </w:rPr>
              <w:t>Durchführung eines Pilotbetriebs</w:t>
            </w:r>
          </w:p>
          <w:p w:rsidR="00FE78DC" w:rsidRPr="001F1CCD" w:rsidRDefault="001E51A9" w:rsidP="00E9472F">
            <w:pPr>
              <w:spacing w:before="60" w:after="60" w:line="240" w:lineRule="auto"/>
              <w:ind w:left="357" w:hanging="357"/>
              <w:rPr>
                <w:sz w:val="22"/>
                <w:szCs w:val="22"/>
              </w:rPr>
            </w:pPr>
            <w:r>
              <w:rPr>
                <w:sz w:val="22"/>
                <w:szCs w:val="22"/>
              </w:rPr>
              <w:t>16.</w:t>
            </w:r>
            <w:r>
              <w:rPr>
                <w:sz w:val="22"/>
                <w:szCs w:val="22"/>
              </w:rPr>
              <w:tab/>
            </w:r>
            <w:r w:rsidR="00FE78DC" w:rsidRPr="001F1CCD">
              <w:rPr>
                <w:sz w:val="22"/>
                <w:szCs w:val="22"/>
              </w:rPr>
              <w:t>Dienstleistungen im Bereich Prozes</w:t>
            </w:r>
            <w:r w:rsidR="00FE78DC" w:rsidRPr="001F1CCD">
              <w:rPr>
                <w:sz w:val="22"/>
                <w:szCs w:val="22"/>
              </w:rPr>
              <w:t>s</w:t>
            </w:r>
            <w:r w:rsidR="00FE78DC" w:rsidRPr="001F1CCD">
              <w:rPr>
                <w:sz w:val="22"/>
                <w:szCs w:val="22"/>
              </w:rPr>
              <w:t>steuerung</w:t>
            </w:r>
          </w:p>
          <w:p w:rsidR="00FE78DC" w:rsidRPr="001F1CCD" w:rsidRDefault="001E51A9" w:rsidP="00E9472F">
            <w:pPr>
              <w:spacing w:before="60" w:after="60" w:line="240" w:lineRule="auto"/>
              <w:ind w:left="357" w:hanging="357"/>
              <w:rPr>
                <w:sz w:val="22"/>
                <w:szCs w:val="22"/>
              </w:rPr>
            </w:pPr>
            <w:r>
              <w:rPr>
                <w:sz w:val="22"/>
                <w:szCs w:val="22"/>
              </w:rPr>
              <w:t>17.</w:t>
            </w:r>
            <w:r>
              <w:rPr>
                <w:sz w:val="22"/>
                <w:szCs w:val="22"/>
              </w:rPr>
              <w:tab/>
            </w:r>
            <w:r w:rsidR="00FE78DC" w:rsidRPr="001F1CCD">
              <w:rPr>
                <w:sz w:val="22"/>
                <w:szCs w:val="22"/>
              </w:rPr>
              <w:t>Laufende Optimierungen von Diens</w:t>
            </w:r>
            <w:r w:rsidR="00FE78DC" w:rsidRPr="001F1CCD">
              <w:rPr>
                <w:sz w:val="22"/>
                <w:szCs w:val="22"/>
              </w:rPr>
              <w:t>t</w:t>
            </w:r>
            <w:r w:rsidR="00FE78DC" w:rsidRPr="001F1CCD">
              <w:rPr>
                <w:sz w:val="22"/>
                <w:szCs w:val="22"/>
              </w:rPr>
              <w:t>leistungen, Produkten und Anlagen</w:t>
            </w:r>
          </w:p>
          <w:p w:rsidR="00FE78DC" w:rsidRPr="001F1CCD" w:rsidRDefault="001E51A9" w:rsidP="00E9472F">
            <w:pPr>
              <w:spacing w:before="60" w:after="60" w:line="240" w:lineRule="auto"/>
              <w:ind w:left="357" w:hanging="357"/>
              <w:rPr>
                <w:sz w:val="22"/>
                <w:szCs w:val="22"/>
              </w:rPr>
            </w:pPr>
            <w:r>
              <w:rPr>
                <w:sz w:val="22"/>
                <w:szCs w:val="22"/>
              </w:rPr>
              <w:t>18.</w:t>
            </w:r>
            <w:r>
              <w:rPr>
                <w:sz w:val="22"/>
                <w:szCs w:val="22"/>
              </w:rPr>
              <w:tab/>
            </w:r>
            <w:r w:rsidR="00FE78DC" w:rsidRPr="001F1CCD">
              <w:rPr>
                <w:sz w:val="22"/>
                <w:szCs w:val="22"/>
              </w:rPr>
              <w:t>Qualitätskontrolle</w:t>
            </w:r>
          </w:p>
          <w:p w:rsidR="00FE78DC" w:rsidRPr="001F1CCD" w:rsidRDefault="001E51A9" w:rsidP="00E9472F">
            <w:pPr>
              <w:spacing w:before="60" w:after="60" w:line="240" w:lineRule="auto"/>
              <w:ind w:left="357" w:hanging="357"/>
              <w:rPr>
                <w:sz w:val="22"/>
                <w:szCs w:val="22"/>
              </w:rPr>
            </w:pPr>
            <w:r>
              <w:rPr>
                <w:sz w:val="22"/>
                <w:szCs w:val="22"/>
              </w:rPr>
              <w:t>19.</w:t>
            </w:r>
            <w:r>
              <w:rPr>
                <w:sz w:val="22"/>
                <w:szCs w:val="22"/>
              </w:rPr>
              <w:tab/>
            </w:r>
            <w:r w:rsidR="00FE78DC" w:rsidRPr="001F1CCD">
              <w:rPr>
                <w:sz w:val="22"/>
                <w:szCs w:val="22"/>
              </w:rPr>
              <w:t>Schulungen nach der Erstlieferung</w:t>
            </w:r>
          </w:p>
          <w:p w:rsidR="00F63296" w:rsidRPr="00F63296" w:rsidRDefault="001E51A9" w:rsidP="00E9472F">
            <w:pPr>
              <w:spacing w:before="60" w:after="60" w:line="240" w:lineRule="auto"/>
              <w:ind w:left="357" w:hanging="357"/>
              <w:rPr>
                <w:sz w:val="22"/>
                <w:szCs w:val="22"/>
              </w:rPr>
            </w:pPr>
            <w:r>
              <w:rPr>
                <w:sz w:val="22"/>
                <w:szCs w:val="22"/>
              </w:rPr>
              <w:t>20.</w:t>
            </w:r>
            <w:r>
              <w:rPr>
                <w:sz w:val="22"/>
                <w:szCs w:val="22"/>
              </w:rPr>
              <w:tab/>
            </w:r>
            <w:r w:rsidR="00FE78DC" w:rsidRPr="001F1CCD">
              <w:rPr>
                <w:sz w:val="22"/>
                <w:szCs w:val="22"/>
              </w:rPr>
              <w:t>Entsorgung</w:t>
            </w:r>
          </w:p>
        </w:tc>
      </w:tr>
    </w:tbl>
    <w:p w:rsidR="001F1CCD" w:rsidRDefault="00086E96" w:rsidP="001F1CCD">
      <w:pPr>
        <w:jc w:val="both"/>
        <w:rPr>
          <w:rFonts w:ascii="Times New Roman" w:hAnsi="Times New Roman"/>
          <w:sz w:val="16"/>
          <w:szCs w:val="16"/>
        </w:rPr>
      </w:pPr>
      <w:r>
        <w:rPr>
          <w:rFonts w:ascii="Times New Roman" w:hAnsi="Times New Roman"/>
          <w:noProof/>
          <w:sz w:val="24"/>
        </w:rPr>
        <w:pict>
          <v:shape id="_x0000_s1039" type="#_x0000_t75" style="position:absolute;left:0;text-align:left;margin-left:366.95pt;margin-top:9.55pt;width:65.4pt;height:18.6pt;z-index:251715584;visibility:visible;mso-wrap-edited:f;mso-position-horizontal-relative:text;mso-position-vertical-relative:text" o:allowincell="f" fillcolor="window">
            <v:imagedata r:id="rId9" o:title="" gain="69719f"/>
            <w10:wrap type="topAndBottom"/>
          </v:shape>
          <o:OLEObject Type="Embed" ProgID="Word.Picture.8" ShapeID="_x0000_s1039" DrawAspect="Content" ObjectID="_1397992691" r:id="rId18"/>
        </w:pict>
      </w:r>
      <w:r w:rsidR="001F1CCD">
        <w:rPr>
          <w:noProof/>
        </w:rPr>
        <mc:AlternateContent>
          <mc:Choice Requires="wps">
            <w:drawing>
              <wp:anchor distT="0" distB="0" distL="114300" distR="114300" simplePos="0" relativeHeight="251714560" behindDoc="0" locked="0" layoutInCell="1" allowOverlap="1" wp14:anchorId="7ACA3EB8" wp14:editId="3BD51E97">
                <wp:simplePos x="0" y="0"/>
                <wp:positionH relativeFrom="column">
                  <wp:posOffset>-64135</wp:posOffset>
                </wp:positionH>
                <wp:positionV relativeFrom="paragraph">
                  <wp:posOffset>97790</wp:posOffset>
                </wp:positionV>
                <wp:extent cx="1828800" cy="182880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35429" w:rsidRPr="00501360" w:rsidRDefault="00B35429" w:rsidP="00FE78DC">
                            <w:pPr>
                              <w:jc w:val="both"/>
                              <w:rPr>
                                <w:rFonts w:ascii="Times New Roman" w:hAnsi="Times New Roman"/>
                                <w:sz w:val="16"/>
                                <w:szCs w:val="16"/>
                              </w:rPr>
                            </w:pPr>
                            <w:r w:rsidRPr="00FE78DC">
                              <w:rPr>
                                <w:rFonts w:ascii="Times New Roman" w:hAnsi="Times New Roman"/>
                                <w:sz w:val="16"/>
                                <w:szCs w:val="16"/>
                              </w:rPr>
                              <w:t>Quelle: IW Consult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7" o:spid="_x0000_s1030" type="#_x0000_t202" style="position:absolute;left:0;text-align:left;margin-left:-5.05pt;margin-top:7.7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" filled="f" stroked="f" strokeweight=".5pt">
                <v:textbox style="mso-fit-shape-to-text:t">
                  <w:txbxContent>
                    <w:p w:rsidR="00B35429" w:rsidRPr="00501360" w:rsidRDefault="00B35429" w:rsidP="00FE78DC">
                      <w:pPr>
                        <w:jc w:val="both"/>
                        <w:rPr>
                          <w:rFonts w:ascii="Times New Roman" w:hAnsi="Times New Roman"/>
                          <w:sz w:val="16"/>
                          <w:szCs w:val="16"/>
                        </w:rPr>
                      </w:pPr>
                      <w:r w:rsidRPr="00FE78DC">
                        <w:rPr>
                          <w:rFonts w:ascii="Times New Roman" w:hAnsi="Times New Roman"/>
                          <w:sz w:val="16"/>
                          <w:szCs w:val="16"/>
                        </w:rPr>
                        <w:t xml:space="preserve">Quelle: IW </w:t>
                      </w:r>
                      <w:proofErr w:type="spellStart"/>
                      <w:r w:rsidRPr="00FE78DC">
                        <w:rPr>
                          <w:rFonts w:ascii="Times New Roman" w:hAnsi="Times New Roman"/>
                          <w:sz w:val="16"/>
                          <w:szCs w:val="16"/>
                        </w:rPr>
                        <w:t>Consult</w:t>
                      </w:r>
                      <w:proofErr w:type="spellEnd"/>
                    </w:p>
                  </w:txbxContent>
                </v:textbox>
                <w10:wrap type="square"/>
              </v:shape>
            </w:pict>
          </mc:Fallback>
        </mc:AlternateContent>
      </w:r>
    </w:p>
    <w:p w:rsidR="005B553A" w:rsidRPr="00EF1841" w:rsidRDefault="005B553A" w:rsidP="005B553A">
      <w:pPr>
        <w:spacing w:line="360" w:lineRule="exact"/>
        <w:jc w:val="both"/>
        <w:rPr>
          <w:rFonts w:ascii="Times New Roman" w:hAnsi="Times New Roman"/>
          <w:sz w:val="24"/>
        </w:rPr>
      </w:pPr>
    </w:p>
    <w:p w:rsidR="00470DE2" w:rsidRDefault="009E2DC5" w:rsidP="00EF1841">
      <w:pPr>
        <w:spacing w:line="360" w:lineRule="exact"/>
        <w:jc w:val="both"/>
        <w:rPr>
          <w:rFonts w:ascii="Times New Roman" w:hAnsi="Times New Roman"/>
          <w:sz w:val="24"/>
        </w:rPr>
      </w:pPr>
      <w:r w:rsidRPr="00EF1841">
        <w:rPr>
          <w:rFonts w:ascii="Times New Roman" w:hAnsi="Times New Roman"/>
          <w:sz w:val="24"/>
        </w:rPr>
        <w:t>Im Rahmen dieser Studie muss eine Festlegung getroffen werden, ab wann von einer hy</w:t>
      </w:r>
      <w:r w:rsidRPr="00EF1841">
        <w:rPr>
          <w:rFonts w:ascii="Times New Roman" w:hAnsi="Times New Roman"/>
          <w:sz w:val="24"/>
        </w:rPr>
        <w:t>b</w:t>
      </w:r>
      <w:r w:rsidRPr="00EF1841">
        <w:rPr>
          <w:rFonts w:ascii="Times New Roman" w:hAnsi="Times New Roman"/>
          <w:sz w:val="24"/>
        </w:rPr>
        <w:t>riden Wertschöpfungskette</w:t>
      </w:r>
      <w:r w:rsidR="000B0B6A">
        <w:rPr>
          <w:rFonts w:ascii="Times New Roman" w:hAnsi="Times New Roman"/>
          <w:sz w:val="24"/>
        </w:rPr>
        <w:t xml:space="preserve"> im Sinne des Tätigkeitskonzept</w:t>
      </w:r>
      <w:r w:rsidRPr="00EF1841">
        <w:rPr>
          <w:rFonts w:ascii="Times New Roman" w:hAnsi="Times New Roman"/>
          <w:sz w:val="24"/>
        </w:rPr>
        <w:t>s gesprochen werden kann. D</w:t>
      </w:r>
      <w:r w:rsidRPr="00EF1841">
        <w:rPr>
          <w:rFonts w:ascii="Times New Roman" w:hAnsi="Times New Roman"/>
          <w:sz w:val="24"/>
        </w:rPr>
        <w:t>a</w:t>
      </w:r>
      <w:r w:rsidRPr="00EF1841">
        <w:rPr>
          <w:rFonts w:ascii="Times New Roman" w:hAnsi="Times New Roman"/>
          <w:sz w:val="24"/>
        </w:rPr>
        <w:t>für gibt es keine wissenschaftlich begründbare Regel. Es sollte sichergestellt werden, dass ein Unternehmen nur dann als hybrid eingestuft wird, wenn es einen möglichst großen Te</w:t>
      </w:r>
      <w:r w:rsidR="000B0B6A">
        <w:rPr>
          <w:rFonts w:ascii="Times New Roman" w:hAnsi="Times New Roman"/>
          <w:sz w:val="24"/>
        </w:rPr>
        <w:t>il des Tätigkeitsbündels allein</w:t>
      </w:r>
      <w:r w:rsidRPr="00EF1841">
        <w:rPr>
          <w:rFonts w:ascii="Times New Roman" w:hAnsi="Times New Roman"/>
          <w:sz w:val="24"/>
        </w:rPr>
        <w:t xml:space="preserve"> oder in Zusammenarbeit mit einem Partner anbietet. Auße</w:t>
      </w:r>
      <w:r w:rsidRPr="00EF1841">
        <w:rPr>
          <w:rFonts w:ascii="Times New Roman" w:hAnsi="Times New Roman"/>
          <w:sz w:val="24"/>
        </w:rPr>
        <w:t>r</w:t>
      </w:r>
      <w:r w:rsidRPr="00EF1841">
        <w:rPr>
          <w:rFonts w:ascii="Times New Roman" w:hAnsi="Times New Roman"/>
          <w:sz w:val="24"/>
        </w:rPr>
        <w:t>dem sollten Tätigkeiten sowohl aus d</w:t>
      </w:r>
      <w:r w:rsidR="000B0B6A">
        <w:rPr>
          <w:rFonts w:ascii="Times New Roman" w:hAnsi="Times New Roman"/>
          <w:sz w:val="24"/>
        </w:rPr>
        <w:t>er Vorphase</w:t>
      </w:r>
      <w:r w:rsidRPr="00EF1841">
        <w:rPr>
          <w:rFonts w:ascii="Times New Roman" w:hAnsi="Times New Roman"/>
          <w:sz w:val="24"/>
        </w:rPr>
        <w:t xml:space="preserve"> als auch aus der Nutzungsphase entha</w:t>
      </w:r>
      <w:r w:rsidRPr="00EF1841">
        <w:rPr>
          <w:rFonts w:ascii="Times New Roman" w:hAnsi="Times New Roman"/>
          <w:sz w:val="24"/>
        </w:rPr>
        <w:t>l</w:t>
      </w:r>
      <w:r w:rsidRPr="00EF1841">
        <w:rPr>
          <w:rFonts w:ascii="Times New Roman" w:hAnsi="Times New Roman"/>
          <w:sz w:val="24"/>
        </w:rPr>
        <w:t xml:space="preserve">ten sein. </w:t>
      </w:r>
      <w:r w:rsidR="00501975">
        <w:rPr>
          <w:rFonts w:ascii="Times New Roman" w:hAnsi="Times New Roman"/>
          <w:sz w:val="24"/>
        </w:rPr>
        <w:t>Für</w:t>
      </w:r>
      <w:r w:rsidRPr="00EF1841">
        <w:rPr>
          <w:rFonts w:ascii="Times New Roman" w:hAnsi="Times New Roman"/>
          <w:sz w:val="24"/>
        </w:rPr>
        <w:t xml:space="preserve"> diese Studie </w:t>
      </w:r>
      <w:r w:rsidR="00501975">
        <w:rPr>
          <w:rFonts w:ascii="Times New Roman" w:hAnsi="Times New Roman"/>
          <w:sz w:val="24"/>
        </w:rPr>
        <w:t xml:space="preserve">wird </w:t>
      </w:r>
      <w:r w:rsidRPr="00EF1841">
        <w:rPr>
          <w:rFonts w:ascii="Times New Roman" w:hAnsi="Times New Roman"/>
          <w:sz w:val="24"/>
        </w:rPr>
        <w:t>festgelegt, dass ein Unternehmen dann ein hybrides G</w:t>
      </w:r>
      <w:r w:rsidRPr="00EF1841">
        <w:rPr>
          <w:rFonts w:ascii="Times New Roman" w:hAnsi="Times New Roman"/>
          <w:sz w:val="24"/>
        </w:rPr>
        <w:t>e</w:t>
      </w:r>
      <w:r w:rsidRPr="00EF1841">
        <w:rPr>
          <w:rFonts w:ascii="Times New Roman" w:hAnsi="Times New Roman"/>
          <w:sz w:val="24"/>
        </w:rPr>
        <w:t xml:space="preserve">schäftsmodell verfolgt, wenn es aus der Vorphase mindestens vier von sieben und aus der Nutzungsphase mindestens acht von </w:t>
      </w:r>
      <w:r w:rsidR="000B0B6A">
        <w:rPr>
          <w:rFonts w:ascii="Times New Roman" w:hAnsi="Times New Roman"/>
          <w:sz w:val="24"/>
        </w:rPr>
        <w:t>13 Tätigkeiten allein</w:t>
      </w:r>
      <w:r w:rsidRPr="00EF1841">
        <w:rPr>
          <w:rFonts w:ascii="Times New Roman" w:hAnsi="Times New Roman"/>
          <w:sz w:val="24"/>
        </w:rPr>
        <w:t xml:space="preserve"> oder in Zusammenarbeit mit e</w:t>
      </w:r>
      <w:r w:rsidRPr="00EF1841">
        <w:rPr>
          <w:rFonts w:ascii="Times New Roman" w:hAnsi="Times New Roman"/>
          <w:sz w:val="24"/>
        </w:rPr>
        <w:t>i</w:t>
      </w:r>
      <w:r w:rsidRPr="00EF1841">
        <w:rPr>
          <w:rFonts w:ascii="Times New Roman" w:hAnsi="Times New Roman"/>
          <w:sz w:val="24"/>
        </w:rPr>
        <w:t xml:space="preserve">nem Partner anbietet. Das entspricht einer doppelten Mehrheitsregel: Jeweils deutlich mehr als 50 Prozent der Tätigkeiten aus der Vorphase und der Nutzungsphase müssen erfüllt </w:t>
      </w:r>
      <w:r w:rsidRPr="006B7603">
        <w:rPr>
          <w:rFonts w:ascii="Times New Roman" w:hAnsi="Times New Roman"/>
          <w:sz w:val="24"/>
        </w:rPr>
        <w:t>sein.</w:t>
      </w:r>
      <w:r w:rsidR="00470DE2" w:rsidRPr="006B7603">
        <w:rPr>
          <w:rFonts w:ascii="Times New Roman" w:hAnsi="Times New Roman"/>
          <w:sz w:val="24"/>
        </w:rPr>
        <w:t xml:space="preserve"> Knapp 2</w:t>
      </w:r>
      <w:r w:rsidR="002B54FE">
        <w:rPr>
          <w:rFonts w:ascii="Times New Roman" w:hAnsi="Times New Roman"/>
          <w:sz w:val="24"/>
        </w:rPr>
        <w:t>0 Prozent der Wirtschaft erfüllen</w:t>
      </w:r>
      <w:r w:rsidR="00470DE2" w:rsidRPr="006B7603">
        <w:rPr>
          <w:rFonts w:ascii="Times New Roman" w:hAnsi="Times New Roman"/>
          <w:sz w:val="24"/>
        </w:rPr>
        <w:t xml:space="preserve"> diese beiden Bedingungen. </w:t>
      </w:r>
      <w:r w:rsidR="002B54FE">
        <w:rPr>
          <w:rFonts w:ascii="Times New Roman" w:hAnsi="Times New Roman"/>
          <w:sz w:val="24"/>
        </w:rPr>
        <w:t>Diese Unte</w:t>
      </w:r>
      <w:r w:rsidR="002B54FE">
        <w:rPr>
          <w:rFonts w:ascii="Times New Roman" w:hAnsi="Times New Roman"/>
          <w:sz w:val="24"/>
        </w:rPr>
        <w:t>r</w:t>
      </w:r>
      <w:r w:rsidR="002B54FE">
        <w:rPr>
          <w:rFonts w:ascii="Times New Roman" w:hAnsi="Times New Roman"/>
          <w:sz w:val="24"/>
        </w:rPr>
        <w:t>nehmen werden Standard-Hybrid-Unternehmen genannt.</w:t>
      </w:r>
    </w:p>
    <w:p w:rsidR="00E062B2" w:rsidRPr="006B7603" w:rsidRDefault="00E062B2" w:rsidP="00EF1841">
      <w:pPr>
        <w:spacing w:line="360" w:lineRule="exact"/>
        <w:jc w:val="both"/>
        <w:rPr>
          <w:rFonts w:ascii="Times New Roman" w:hAnsi="Times New Roman"/>
          <w:sz w:val="24"/>
        </w:rPr>
      </w:pPr>
    </w:p>
    <w:p w:rsidR="00E062B2" w:rsidRPr="00D070CC" w:rsidRDefault="00E062B2" w:rsidP="00D070CC">
      <w:pPr>
        <w:spacing w:line="360" w:lineRule="exact"/>
        <w:jc w:val="both"/>
        <w:rPr>
          <w:rFonts w:ascii="Times New Roman" w:hAnsi="Times New Roman"/>
          <w:sz w:val="24"/>
          <w:szCs w:val="24"/>
        </w:rPr>
      </w:pPr>
      <w:r w:rsidRPr="00EF1841">
        <w:rPr>
          <w:rFonts w:ascii="Times New Roman" w:hAnsi="Times New Roman"/>
          <w:sz w:val="24"/>
        </w:rPr>
        <w:t xml:space="preserve">Abbildung </w:t>
      </w:r>
      <w:r>
        <w:rPr>
          <w:rFonts w:ascii="Times New Roman" w:hAnsi="Times New Roman"/>
          <w:sz w:val="24"/>
        </w:rPr>
        <w:t>2</w:t>
      </w:r>
      <w:r w:rsidRPr="00EF1841">
        <w:rPr>
          <w:rFonts w:ascii="Times New Roman" w:hAnsi="Times New Roman"/>
          <w:sz w:val="24"/>
        </w:rPr>
        <w:t xml:space="preserve"> zeigt, welcher Anteil der Unternehmen wie viele dieser </w:t>
      </w:r>
      <w:r>
        <w:rPr>
          <w:rFonts w:ascii="Times New Roman" w:hAnsi="Times New Roman"/>
          <w:sz w:val="24"/>
        </w:rPr>
        <w:t xml:space="preserve">20 </w:t>
      </w:r>
      <w:r w:rsidRPr="00EF1841">
        <w:rPr>
          <w:rFonts w:ascii="Times New Roman" w:hAnsi="Times New Roman"/>
          <w:sz w:val="24"/>
        </w:rPr>
        <w:t>Tätigkeiten anbi</w:t>
      </w:r>
      <w:r w:rsidRPr="00EF1841">
        <w:rPr>
          <w:rFonts w:ascii="Times New Roman" w:hAnsi="Times New Roman"/>
          <w:sz w:val="24"/>
        </w:rPr>
        <w:t>e</w:t>
      </w:r>
      <w:r w:rsidR="00501975">
        <w:rPr>
          <w:rFonts w:ascii="Times New Roman" w:hAnsi="Times New Roman"/>
          <w:sz w:val="24"/>
        </w:rPr>
        <w:t>tet</w:t>
      </w:r>
      <w:r w:rsidRPr="00EF1841">
        <w:rPr>
          <w:rFonts w:ascii="Times New Roman" w:hAnsi="Times New Roman"/>
          <w:sz w:val="24"/>
        </w:rPr>
        <w:t>. Dabei wird danach unterschieden, ob die Unte</w:t>
      </w:r>
      <w:r>
        <w:rPr>
          <w:rFonts w:ascii="Times New Roman" w:hAnsi="Times New Roman"/>
          <w:sz w:val="24"/>
        </w:rPr>
        <w:t xml:space="preserve">rnehmen diese Leistungen allein oder in </w:t>
      </w:r>
      <w:r>
        <w:rPr>
          <w:rFonts w:ascii="Times New Roman" w:hAnsi="Times New Roman"/>
          <w:sz w:val="24"/>
        </w:rPr>
        <w:lastRenderedPageBreak/>
        <w:t>Kooperation</w:t>
      </w:r>
      <w:r w:rsidRPr="00EF1841">
        <w:rPr>
          <w:rFonts w:ascii="Times New Roman" w:hAnsi="Times New Roman"/>
          <w:sz w:val="24"/>
        </w:rPr>
        <w:t xml:space="preserve"> mit anderen Partnerunternehmen </w:t>
      </w:r>
      <w:r w:rsidRPr="006B7603">
        <w:rPr>
          <w:rFonts w:ascii="Times New Roman" w:hAnsi="Times New Roman"/>
          <w:sz w:val="24"/>
          <w:szCs w:val="24"/>
        </w:rPr>
        <w:t>erbringen. Die Werte der Verteilungsfunkt</w:t>
      </w:r>
      <w:r w:rsidRPr="006B7603">
        <w:rPr>
          <w:rFonts w:ascii="Times New Roman" w:hAnsi="Times New Roman"/>
          <w:sz w:val="24"/>
          <w:szCs w:val="24"/>
        </w:rPr>
        <w:t>i</w:t>
      </w:r>
      <w:r w:rsidRPr="006B7603">
        <w:rPr>
          <w:rFonts w:ascii="Times New Roman" w:hAnsi="Times New Roman"/>
          <w:sz w:val="24"/>
          <w:szCs w:val="24"/>
        </w:rPr>
        <w:t>on sind umsatzgewichtet hochgerechnet. In diese Analyse sind zunächst noch alle Unte</w:t>
      </w:r>
      <w:r w:rsidRPr="006B7603">
        <w:rPr>
          <w:rFonts w:ascii="Times New Roman" w:hAnsi="Times New Roman"/>
          <w:sz w:val="24"/>
          <w:szCs w:val="24"/>
        </w:rPr>
        <w:t>r</w:t>
      </w:r>
      <w:r w:rsidRPr="006B7603">
        <w:rPr>
          <w:rFonts w:ascii="Times New Roman" w:hAnsi="Times New Roman"/>
          <w:sz w:val="24"/>
          <w:szCs w:val="24"/>
        </w:rPr>
        <w:t xml:space="preserve">nehmen einbezogen, unabhängig davon, ob sie das Kriterium „Industriebezug“ erfüllen </w:t>
      </w:r>
      <w:r w:rsidR="002B54FE">
        <w:rPr>
          <w:rFonts w:ascii="Times New Roman" w:hAnsi="Times New Roman"/>
          <w:sz w:val="24"/>
          <w:szCs w:val="24"/>
        </w:rPr>
        <w:br/>
      </w:r>
      <w:r w:rsidRPr="006B7603">
        <w:rPr>
          <w:rFonts w:ascii="Times New Roman" w:hAnsi="Times New Roman"/>
          <w:sz w:val="24"/>
          <w:szCs w:val="24"/>
        </w:rPr>
        <w:t>o</w:t>
      </w:r>
      <w:r>
        <w:rPr>
          <w:rFonts w:ascii="Times New Roman" w:hAnsi="Times New Roman"/>
          <w:sz w:val="24"/>
          <w:szCs w:val="24"/>
        </w:rPr>
        <w:t>der nicht:</w:t>
      </w:r>
    </w:p>
    <w:p w:rsidR="00157379" w:rsidRDefault="00157379" w:rsidP="000B0B6A">
      <w:pPr>
        <w:spacing w:line="360" w:lineRule="exact"/>
        <w:ind w:left="357" w:hanging="357"/>
        <w:jc w:val="both"/>
        <w:rPr>
          <w:rFonts w:ascii="Times New Roman" w:hAnsi="Times New Roman"/>
          <w:sz w:val="24"/>
        </w:rPr>
      </w:pPr>
    </w:p>
    <w:p w:rsidR="00732182" w:rsidRDefault="003C539B" w:rsidP="00732182">
      <w:pPr>
        <w:ind w:left="357" w:hanging="357"/>
        <w:jc w:val="both"/>
        <w:rPr>
          <w:rFonts w:ascii="Times New Roman" w:hAnsi="Times New Roman"/>
        </w:rPr>
      </w:pPr>
      <w:r>
        <w:rPr>
          <w:rFonts w:ascii="Times New Roman" w:hAnsi="Times New Roman"/>
        </w:rPr>
        <w:t>Abbildung 2</w:t>
      </w:r>
    </w:p>
    <w:p w:rsidR="00732182" w:rsidRPr="00732182" w:rsidRDefault="00732182" w:rsidP="00732182">
      <w:pPr>
        <w:spacing w:before="120"/>
        <w:ind w:left="357" w:hanging="357"/>
        <w:jc w:val="both"/>
        <w:rPr>
          <w:rFonts w:ascii="Times New Roman" w:hAnsi="Times New Roman"/>
          <w:b/>
          <w:sz w:val="32"/>
          <w:szCs w:val="32"/>
        </w:rPr>
      </w:pPr>
      <w:r w:rsidRPr="00732182">
        <w:rPr>
          <w:rFonts w:ascii="Times New Roman" w:hAnsi="Times New Roman"/>
          <w:b/>
          <w:sz w:val="32"/>
          <w:szCs w:val="32"/>
        </w:rPr>
        <w:t>Verteilungsfunktion der ausgeübten Tätigkeiten</w:t>
      </w:r>
    </w:p>
    <w:p w:rsidR="00732182" w:rsidRPr="006B7603" w:rsidRDefault="00103C09" w:rsidP="00732182">
      <w:pPr>
        <w:ind w:left="357" w:hanging="357"/>
        <w:jc w:val="both"/>
        <w:rPr>
          <w:rFonts w:ascii="Times New Roman" w:hAnsi="Times New Roman"/>
          <w:sz w:val="22"/>
          <w:szCs w:val="22"/>
        </w:rPr>
      </w:pPr>
      <w:r>
        <w:rPr>
          <w:rFonts w:ascii="Times New Roman" w:hAnsi="Times New Roman"/>
          <w:sz w:val="22"/>
          <w:szCs w:val="22"/>
        </w:rPr>
        <w:t xml:space="preserve">Anzahl der selbst oder mit einem Partner ausgeübten Tätigkeiten, </w:t>
      </w:r>
      <w:r w:rsidR="006B7603" w:rsidRPr="006B7603">
        <w:rPr>
          <w:rFonts w:ascii="Times New Roman" w:hAnsi="Times New Roman"/>
          <w:sz w:val="22"/>
          <w:szCs w:val="22"/>
        </w:rPr>
        <w:t>Angaben in Prozent</w:t>
      </w:r>
    </w:p>
    <w:p w:rsidR="006B7603" w:rsidRDefault="006B7603" w:rsidP="00732182">
      <w:pPr>
        <w:ind w:left="357" w:hanging="357"/>
        <w:jc w:val="both"/>
        <w:rPr>
          <w:rFonts w:ascii="Times New Roman" w:hAnsi="Times New Roman"/>
        </w:rPr>
      </w:pPr>
    </w:p>
    <w:p w:rsidR="00732182" w:rsidRDefault="00086E96" w:rsidP="00EE42BB">
      <w:pPr>
        <w:ind w:left="357" w:hanging="357"/>
        <w:jc w:val="both"/>
        <w:rPr>
          <w:rFonts w:ascii="Times New Roman" w:hAnsi="Times New Roman"/>
        </w:rPr>
      </w:pPr>
      <w:r>
        <w:rPr>
          <w:rFonts w:ascii="Times New Roman" w:hAnsi="Times New Roman"/>
          <w:noProof/>
          <w:sz w:val="24"/>
        </w:rPr>
        <w:pict>
          <v:shape id="_x0000_s1043" type="#_x0000_t75" style="position:absolute;left:0;text-align:left;margin-left:363.85pt;margin-top:230.05pt;width:65.4pt;height:18.6pt;z-index:251718656;visibility:visible;mso-wrap-edited:f" o:allowincell="f" fillcolor="window">
            <v:imagedata r:id="rId9" o:title="" gain="69719f"/>
            <w10:wrap type="topAndBottom"/>
          </v:shape>
          <o:OLEObject Type="Embed" ProgID="Word.Picture.8" ShapeID="_x0000_s1043" DrawAspect="Content" ObjectID="_1397992692" r:id="rId19"/>
        </w:pict>
      </w:r>
      <w:r w:rsidR="006370EE">
        <w:rPr>
          <w:noProof/>
        </w:rPr>
        <mc:AlternateContent>
          <mc:Choice Requires="wps">
            <w:drawing>
              <wp:anchor distT="0" distB="0" distL="114300" distR="114300" simplePos="0" relativeHeight="251720704" behindDoc="0" locked="0" layoutInCell="1" allowOverlap="1" wp14:anchorId="33D6C792" wp14:editId="51B3013B">
                <wp:simplePos x="0" y="0"/>
                <wp:positionH relativeFrom="column">
                  <wp:posOffset>19050</wp:posOffset>
                </wp:positionH>
                <wp:positionV relativeFrom="paragraph">
                  <wp:posOffset>2950845</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35429" w:rsidRPr="00CD6333" w:rsidRDefault="00B35429" w:rsidP="006370EE">
                            <w:pPr>
                              <w:jc w:val="both"/>
                              <w:rPr>
                                <w:rFonts w:ascii="Times New Roman" w:hAnsi="Times New Roman"/>
                                <w:sz w:val="16"/>
                                <w:szCs w:val="16"/>
                              </w:rPr>
                            </w:pPr>
                            <w:r>
                              <w:rPr>
                                <w:rFonts w:ascii="Times New Roman" w:hAnsi="Times New Roman"/>
                                <w:sz w:val="16"/>
                                <w:szCs w:val="16"/>
                              </w:rPr>
                              <w:t xml:space="preserve">Quelle: IW Consult, </w:t>
                            </w:r>
                            <w:r w:rsidRPr="00732182">
                              <w:rPr>
                                <w:rFonts w:ascii="Times New Roman" w:hAnsi="Times New Roman"/>
                                <w:sz w:val="16"/>
                                <w:szCs w:val="16"/>
                              </w:rPr>
                              <w:t>201</w:t>
                            </w:r>
                            <w:r>
                              <w:rPr>
                                <w:rFonts w:ascii="Times New Roman" w:hAnsi="Times New Roman"/>
                                <w:sz w:val="16"/>
                                <w:szCs w:val="1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1" o:spid="_x0000_s1031" type="#_x0000_t202" style="position:absolute;left:0;text-align:left;margin-left:1.5pt;margin-top:232.3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" filled="f" stroked="f" strokeweight=".5pt">
                <v:textbox style="mso-fit-shape-to-text:t">
                  <w:txbxContent>
                    <w:p w:rsidR="00B35429" w:rsidRPr="00CD6333" w:rsidRDefault="00B35429" w:rsidP="006370EE">
                      <w:pPr>
                        <w:jc w:val="both"/>
                        <w:rPr>
                          <w:rFonts w:ascii="Times New Roman" w:hAnsi="Times New Roman"/>
                          <w:sz w:val="16"/>
                          <w:szCs w:val="16"/>
                        </w:rPr>
                      </w:pPr>
                      <w:r>
                        <w:rPr>
                          <w:rFonts w:ascii="Times New Roman" w:hAnsi="Times New Roman"/>
                          <w:sz w:val="16"/>
                          <w:szCs w:val="16"/>
                        </w:rPr>
                        <w:t xml:space="preserve">Quelle: IW </w:t>
                      </w:r>
                      <w:proofErr w:type="spellStart"/>
                      <w:r>
                        <w:rPr>
                          <w:rFonts w:ascii="Times New Roman" w:hAnsi="Times New Roman"/>
                          <w:sz w:val="16"/>
                          <w:szCs w:val="16"/>
                        </w:rPr>
                        <w:t>Consult</w:t>
                      </w:r>
                      <w:proofErr w:type="spellEnd"/>
                      <w:r>
                        <w:rPr>
                          <w:rFonts w:ascii="Times New Roman" w:hAnsi="Times New Roman"/>
                          <w:sz w:val="16"/>
                          <w:szCs w:val="16"/>
                        </w:rPr>
                        <w:t xml:space="preserve">, </w:t>
                      </w:r>
                      <w:r w:rsidRPr="00732182">
                        <w:rPr>
                          <w:rFonts w:ascii="Times New Roman" w:hAnsi="Times New Roman"/>
                          <w:sz w:val="16"/>
                          <w:szCs w:val="16"/>
                        </w:rPr>
                        <w:t>201</w:t>
                      </w:r>
                      <w:r>
                        <w:rPr>
                          <w:rFonts w:ascii="Times New Roman" w:hAnsi="Times New Roman"/>
                          <w:sz w:val="16"/>
                          <w:szCs w:val="16"/>
                        </w:rPr>
                        <w:t>1</w:t>
                      </w:r>
                    </w:p>
                  </w:txbxContent>
                </v:textbox>
                <w10:wrap type="square"/>
              </v:shape>
            </w:pict>
          </mc:Fallback>
        </mc:AlternateContent>
      </w:r>
      <w:r w:rsidR="007160DF" w:rsidRPr="007160DF">
        <w:rPr>
          <w:rFonts w:ascii="Times New Roman" w:hAnsi="Times New Roman"/>
        </w:rPr>
        <w:t xml:space="preserve"> </w:t>
      </w:r>
      <w:r w:rsidR="007160DF" w:rsidRPr="007160DF">
        <w:rPr>
          <w:noProof/>
        </w:rPr>
        <w:drawing>
          <wp:inline distT="0" distB="0" distL="0" distR="0">
            <wp:extent cx="5448300" cy="2828925"/>
            <wp:effectExtent l="19050" t="19050" r="19050" b="285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48300" cy="2828925"/>
                    </a:xfrm>
                    <a:prstGeom prst="rect">
                      <a:avLst/>
                    </a:prstGeom>
                    <a:noFill/>
                    <a:ln>
                      <a:solidFill>
                        <a:schemeClr val="tx1"/>
                      </a:solidFill>
                    </a:ln>
                  </pic:spPr>
                </pic:pic>
              </a:graphicData>
            </a:graphic>
          </wp:inline>
        </w:drawing>
      </w:r>
    </w:p>
    <w:p w:rsidR="005B553A" w:rsidRDefault="005B553A" w:rsidP="00EF1841">
      <w:pPr>
        <w:spacing w:line="360" w:lineRule="exact"/>
        <w:jc w:val="both"/>
        <w:rPr>
          <w:rFonts w:ascii="Times New Roman" w:hAnsi="Times New Roman"/>
          <w:sz w:val="24"/>
        </w:rPr>
      </w:pPr>
    </w:p>
    <w:p w:rsidR="00D070CC" w:rsidRPr="00D070CC" w:rsidRDefault="00D070CC" w:rsidP="00D070CC">
      <w:pPr>
        <w:pStyle w:val="Listenabsatz"/>
        <w:numPr>
          <w:ilvl w:val="0"/>
          <w:numId w:val="27"/>
        </w:numPr>
        <w:spacing w:line="360" w:lineRule="exact"/>
        <w:ind w:left="427" w:hangingChars="178" w:hanging="427"/>
        <w:jc w:val="both"/>
        <w:rPr>
          <w:rFonts w:ascii="Times New Roman" w:hAnsi="Times New Roman"/>
          <w:sz w:val="24"/>
        </w:rPr>
      </w:pPr>
      <w:r w:rsidRPr="00D070CC">
        <w:rPr>
          <w:rFonts w:ascii="Times New Roman" w:hAnsi="Times New Roman"/>
          <w:sz w:val="24"/>
        </w:rPr>
        <w:t>Nur eine kleine Minderheit von knapp 1 Prozent des betrachteten Ausschnitts der Wirtschaft bietet alle 20 Tätigkeiten in Kooperation mit anderen Unternehmen an. Nur 0,1 Prozent der Unternehmen hat alle Tätigkeiten in seinem eigenen Portfolio. Es ist aus zwei Gründen wenig überraschend, dass solche Komplettanbieter sehr selten sind. Zum einen benötigen bei weitem nicht alle Geschäftsmodelle alle aufgelisteten Täti</w:t>
      </w:r>
      <w:r w:rsidRPr="00D070CC">
        <w:rPr>
          <w:rFonts w:ascii="Times New Roman" w:hAnsi="Times New Roman"/>
          <w:sz w:val="24"/>
        </w:rPr>
        <w:t>g</w:t>
      </w:r>
      <w:r w:rsidRPr="00D070CC">
        <w:rPr>
          <w:rFonts w:ascii="Times New Roman" w:hAnsi="Times New Roman"/>
          <w:sz w:val="24"/>
        </w:rPr>
        <w:t>keiten und zum anderen können nur wenige Unternehmen dieses gesamte Kompeten</w:t>
      </w:r>
      <w:r w:rsidRPr="00D070CC">
        <w:rPr>
          <w:rFonts w:ascii="Times New Roman" w:hAnsi="Times New Roman"/>
          <w:sz w:val="24"/>
        </w:rPr>
        <w:t>z</w:t>
      </w:r>
      <w:r w:rsidRPr="00D070CC">
        <w:rPr>
          <w:rFonts w:ascii="Times New Roman" w:hAnsi="Times New Roman"/>
          <w:sz w:val="24"/>
        </w:rPr>
        <w:t>spektrum bedienen.</w:t>
      </w:r>
    </w:p>
    <w:p w:rsidR="00D070CC" w:rsidRPr="00EF1841" w:rsidRDefault="00D070CC" w:rsidP="00D070CC">
      <w:pPr>
        <w:spacing w:line="360" w:lineRule="exact"/>
        <w:ind w:left="427" w:hangingChars="178" w:hanging="42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 xml:space="preserve">Gut ein Viertel der Unternehmen hat zwölf der </w:t>
      </w:r>
      <w:r>
        <w:rPr>
          <w:rFonts w:ascii="Times New Roman" w:hAnsi="Times New Roman"/>
          <w:sz w:val="24"/>
        </w:rPr>
        <w:t>20</w:t>
      </w:r>
      <w:r w:rsidRPr="00EF1841">
        <w:rPr>
          <w:rFonts w:ascii="Times New Roman" w:hAnsi="Times New Roman"/>
          <w:sz w:val="24"/>
        </w:rPr>
        <w:t xml:space="preserve"> Tätigkeiten zumindest im Rahmen von Kooperationen im Portfolio. Mindestens sechs Tätigkeiten bieten zwei Drittel </w:t>
      </w:r>
      <w:r>
        <w:rPr>
          <w:rFonts w:ascii="Times New Roman" w:hAnsi="Times New Roman"/>
          <w:sz w:val="24"/>
        </w:rPr>
        <w:t xml:space="preserve">der Unternehmen </w:t>
      </w:r>
      <w:r w:rsidRPr="00EF1841">
        <w:rPr>
          <w:rFonts w:ascii="Times New Roman" w:hAnsi="Times New Roman"/>
          <w:sz w:val="24"/>
        </w:rPr>
        <w:t>an. Über 80 Prozent der Wirtschaft hat zumindest vier Tätigkeiten im eigenen Programm oder kooperiert mit Unternehmen, die diese Tätigkeiten anbieten.</w:t>
      </w:r>
    </w:p>
    <w:p w:rsidR="00D070CC" w:rsidRDefault="00D070CC" w:rsidP="00D070CC">
      <w:pPr>
        <w:spacing w:line="360" w:lineRule="exact"/>
        <w:ind w:left="427" w:hangingChars="178" w:hanging="42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r>
      <w:r>
        <w:rPr>
          <w:rFonts w:ascii="Times New Roman" w:hAnsi="Times New Roman"/>
          <w:sz w:val="24"/>
        </w:rPr>
        <w:t xml:space="preserve">Das bedeutet im Umkehrschluss, dass sich weniger als ein Fünftel der Unternehmen auf drei Tätigkeiten oder weniger neben ihrem Kerngeschäft konzentriert. Mehrere produktbegleitende Dienstleistungen werden also schon von der überwiegenden </w:t>
      </w:r>
      <w:r>
        <w:rPr>
          <w:rFonts w:ascii="Times New Roman" w:hAnsi="Times New Roman"/>
          <w:sz w:val="24"/>
        </w:rPr>
        <w:lastRenderedPageBreak/>
        <w:t>Mehrheit der Unternehmen angeboten, womit der erste Schritt hin zum hybriden Wer</w:t>
      </w:r>
      <w:r>
        <w:rPr>
          <w:rFonts w:ascii="Times New Roman" w:hAnsi="Times New Roman"/>
          <w:sz w:val="24"/>
        </w:rPr>
        <w:t>t</w:t>
      </w:r>
      <w:r>
        <w:rPr>
          <w:rFonts w:ascii="Times New Roman" w:hAnsi="Times New Roman"/>
          <w:sz w:val="24"/>
        </w:rPr>
        <w:t>schöpfungsmodell getan ist. Hochsegmentierte Modelle, die mehr oder weniger ledi</w:t>
      </w:r>
      <w:r>
        <w:rPr>
          <w:rFonts w:ascii="Times New Roman" w:hAnsi="Times New Roman"/>
          <w:sz w:val="24"/>
        </w:rPr>
        <w:t>g</w:t>
      </w:r>
      <w:r>
        <w:rPr>
          <w:rFonts w:ascii="Times New Roman" w:hAnsi="Times New Roman"/>
          <w:sz w:val="24"/>
        </w:rPr>
        <w:t>lich ihr Kerngeschäft im Fokus halten, können mittlerweile nur noch als Randphän</w:t>
      </w:r>
      <w:r>
        <w:rPr>
          <w:rFonts w:ascii="Times New Roman" w:hAnsi="Times New Roman"/>
          <w:sz w:val="24"/>
        </w:rPr>
        <w:t>o</w:t>
      </w:r>
      <w:r>
        <w:rPr>
          <w:rFonts w:ascii="Times New Roman" w:hAnsi="Times New Roman"/>
          <w:sz w:val="24"/>
        </w:rPr>
        <w:t xml:space="preserve">mene angesehen werden. </w:t>
      </w:r>
    </w:p>
    <w:p w:rsidR="00D070CC" w:rsidRDefault="00D070CC" w:rsidP="00EF1841">
      <w:pPr>
        <w:spacing w:line="360" w:lineRule="exact"/>
        <w:jc w:val="both"/>
        <w:rPr>
          <w:rFonts w:ascii="Times New Roman" w:hAnsi="Times New Roman"/>
          <w:sz w:val="24"/>
        </w:rPr>
      </w:pPr>
    </w:p>
    <w:p w:rsidR="009E2DC5" w:rsidRPr="00EF1841" w:rsidRDefault="00157379" w:rsidP="00EF1841">
      <w:pPr>
        <w:spacing w:line="360" w:lineRule="exact"/>
        <w:jc w:val="both"/>
        <w:rPr>
          <w:rFonts w:ascii="Times New Roman" w:hAnsi="Times New Roman"/>
          <w:sz w:val="24"/>
        </w:rPr>
      </w:pPr>
      <w:r w:rsidRPr="00EF1841">
        <w:rPr>
          <w:rFonts w:ascii="Times New Roman" w:hAnsi="Times New Roman"/>
          <w:sz w:val="24"/>
        </w:rPr>
        <w:t>Die dritte</w:t>
      </w:r>
      <w:r w:rsidR="009E2DC5" w:rsidRPr="00EF1841">
        <w:rPr>
          <w:rFonts w:ascii="Times New Roman" w:hAnsi="Times New Roman"/>
          <w:sz w:val="24"/>
        </w:rPr>
        <w:t xml:space="preserve"> wichtige Eigenschaft von hybriden Geschäftsmodellen ist die Vereinbarung von Garantieleistungen über das übliche gesetzlich vorgeschriebene Maß hinaus. Abgestellt wird dabei in letzter Konsequenz auf Betreibermodelle. Es wird nicht eine Maschine geli</w:t>
      </w:r>
      <w:r w:rsidR="009E2DC5" w:rsidRPr="00EF1841">
        <w:rPr>
          <w:rFonts w:ascii="Times New Roman" w:hAnsi="Times New Roman"/>
          <w:sz w:val="24"/>
        </w:rPr>
        <w:t>e</w:t>
      </w:r>
      <w:r w:rsidR="009E2DC5" w:rsidRPr="00EF1841">
        <w:rPr>
          <w:rFonts w:ascii="Times New Roman" w:hAnsi="Times New Roman"/>
          <w:sz w:val="24"/>
        </w:rPr>
        <w:t>fert, sondern der Output dieser Maschine, der anhand verschiedener Performancekriterien (z. B. Mindestlaufzeit, gefertigte Teile pro Stunde oder Gesamtkosten über den Lebenszy</w:t>
      </w:r>
      <w:r w:rsidR="009E2DC5" w:rsidRPr="00EF1841">
        <w:rPr>
          <w:rFonts w:ascii="Times New Roman" w:hAnsi="Times New Roman"/>
          <w:sz w:val="24"/>
        </w:rPr>
        <w:t>k</w:t>
      </w:r>
      <w:r w:rsidR="009E2DC5" w:rsidRPr="00EF1841">
        <w:rPr>
          <w:rFonts w:ascii="Times New Roman" w:hAnsi="Times New Roman"/>
          <w:sz w:val="24"/>
        </w:rPr>
        <w:t>lus) gemessen und garantiert wird. Meistens werden diese Regelungen auf Grundlage lan</w:t>
      </w:r>
      <w:r w:rsidR="009E2DC5" w:rsidRPr="00EF1841">
        <w:rPr>
          <w:rFonts w:ascii="Times New Roman" w:hAnsi="Times New Roman"/>
          <w:sz w:val="24"/>
        </w:rPr>
        <w:t>g</w:t>
      </w:r>
      <w:r w:rsidR="009E2DC5" w:rsidRPr="00EF1841">
        <w:rPr>
          <w:rFonts w:ascii="Times New Roman" w:hAnsi="Times New Roman"/>
          <w:sz w:val="24"/>
        </w:rPr>
        <w:t>fristiger Rahmenverträge – also ex ante – vereinbart.</w:t>
      </w:r>
      <w:r w:rsidR="0073503A">
        <w:rPr>
          <w:rFonts w:ascii="Times New Roman" w:hAnsi="Times New Roman"/>
          <w:sz w:val="24"/>
        </w:rPr>
        <w:t xml:space="preserve"> </w:t>
      </w:r>
      <w:r w:rsidR="009E2DC5" w:rsidRPr="00EF1841">
        <w:rPr>
          <w:rFonts w:ascii="Times New Roman" w:hAnsi="Times New Roman"/>
          <w:sz w:val="24"/>
        </w:rPr>
        <w:t xml:space="preserve">In der Befragung </w:t>
      </w:r>
      <w:r w:rsidR="003B48D4">
        <w:rPr>
          <w:rFonts w:ascii="Times New Roman" w:hAnsi="Times New Roman"/>
          <w:sz w:val="24"/>
        </w:rPr>
        <w:t>geben</w:t>
      </w:r>
      <w:r w:rsidR="009E2DC5" w:rsidRPr="00EF1841">
        <w:rPr>
          <w:rFonts w:ascii="Times New Roman" w:hAnsi="Times New Roman"/>
          <w:sz w:val="24"/>
        </w:rPr>
        <w:t xml:space="preserve"> die Unte</w:t>
      </w:r>
      <w:r w:rsidR="009E2DC5" w:rsidRPr="00EF1841">
        <w:rPr>
          <w:rFonts w:ascii="Times New Roman" w:hAnsi="Times New Roman"/>
          <w:sz w:val="24"/>
        </w:rPr>
        <w:t>r</w:t>
      </w:r>
      <w:r w:rsidR="009E2DC5" w:rsidRPr="00EF1841">
        <w:rPr>
          <w:rFonts w:ascii="Times New Roman" w:hAnsi="Times New Roman"/>
          <w:sz w:val="24"/>
        </w:rPr>
        <w:t>neh</w:t>
      </w:r>
      <w:r w:rsidR="003B48D4">
        <w:rPr>
          <w:rFonts w:ascii="Times New Roman" w:hAnsi="Times New Roman"/>
          <w:sz w:val="24"/>
        </w:rPr>
        <w:t>men an</w:t>
      </w:r>
      <w:r w:rsidR="009E2DC5" w:rsidRPr="00EF1841">
        <w:rPr>
          <w:rFonts w:ascii="Times New Roman" w:hAnsi="Times New Roman"/>
          <w:sz w:val="24"/>
        </w:rPr>
        <w:t xml:space="preserve">, welche der folgenden Garantieleistungen sie anbieten. Dabei konnten die </w:t>
      </w:r>
      <w:r w:rsidR="006B7603">
        <w:rPr>
          <w:rFonts w:ascii="Times New Roman" w:hAnsi="Times New Roman"/>
          <w:sz w:val="24"/>
        </w:rPr>
        <w:t>Kr</w:t>
      </w:r>
      <w:r w:rsidR="006B7603">
        <w:rPr>
          <w:rFonts w:ascii="Times New Roman" w:hAnsi="Times New Roman"/>
          <w:sz w:val="24"/>
        </w:rPr>
        <w:t>i</w:t>
      </w:r>
      <w:r w:rsidR="006B7603">
        <w:rPr>
          <w:rFonts w:ascii="Times New Roman" w:hAnsi="Times New Roman"/>
          <w:sz w:val="24"/>
        </w:rPr>
        <w:t xml:space="preserve">terien </w:t>
      </w:r>
      <w:r w:rsidR="009E2DC5" w:rsidRPr="00EF1841">
        <w:rPr>
          <w:rFonts w:ascii="Times New Roman" w:hAnsi="Times New Roman"/>
          <w:sz w:val="24"/>
        </w:rPr>
        <w:t>„immer“, „überwiegend“, „teilweise“, „gar nicht“ oder „für unsere Produkte ung</w:t>
      </w:r>
      <w:r w:rsidR="009E2DC5" w:rsidRPr="00EF1841">
        <w:rPr>
          <w:rFonts w:ascii="Times New Roman" w:hAnsi="Times New Roman"/>
          <w:sz w:val="24"/>
        </w:rPr>
        <w:t>e</w:t>
      </w:r>
      <w:r w:rsidR="009E2DC5" w:rsidRPr="00EF1841">
        <w:rPr>
          <w:rFonts w:ascii="Times New Roman" w:hAnsi="Times New Roman"/>
          <w:sz w:val="24"/>
        </w:rPr>
        <w:t>eignet“ angekreuzt werden:</w:t>
      </w:r>
    </w:p>
    <w:p w:rsidR="009E2DC5" w:rsidRPr="00EF1841" w:rsidRDefault="002B54FE" w:rsidP="00732182">
      <w:pPr>
        <w:spacing w:line="360" w:lineRule="exact"/>
        <w:ind w:left="357" w:hanging="357"/>
        <w:jc w:val="both"/>
        <w:rPr>
          <w:rFonts w:ascii="Times New Roman" w:hAnsi="Times New Roman"/>
          <w:sz w:val="24"/>
        </w:rPr>
      </w:pPr>
      <w:r>
        <w:rPr>
          <w:rFonts w:ascii="Times New Roman" w:hAnsi="Times New Roman"/>
          <w:sz w:val="24"/>
        </w:rPr>
        <w:t>•</w:t>
      </w:r>
      <w:r>
        <w:rPr>
          <w:rFonts w:ascii="Times New Roman" w:hAnsi="Times New Roman"/>
          <w:sz w:val="24"/>
        </w:rPr>
        <w:tab/>
        <w:t xml:space="preserve">Mindestlaufzeiten und </w:t>
      </w:r>
      <w:r w:rsidR="009E2DC5" w:rsidRPr="00EF1841">
        <w:rPr>
          <w:rFonts w:ascii="Times New Roman" w:hAnsi="Times New Roman"/>
          <w:sz w:val="24"/>
        </w:rPr>
        <w:t>Mindestwirkdauern</w:t>
      </w:r>
      <w:r>
        <w:rPr>
          <w:rFonts w:ascii="Times New Roman" w:hAnsi="Times New Roman"/>
          <w:sz w:val="24"/>
        </w:rPr>
        <w:t>,</w:t>
      </w:r>
    </w:p>
    <w:p w:rsidR="009E2DC5" w:rsidRPr="00EF1841" w:rsidRDefault="009E2DC5" w:rsidP="00732182">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Obergrenzen für Ausfalldauern</w:t>
      </w:r>
      <w:r w:rsidR="002B54FE">
        <w:rPr>
          <w:rFonts w:ascii="Times New Roman" w:hAnsi="Times New Roman"/>
          <w:sz w:val="24"/>
        </w:rPr>
        <w:t>,</w:t>
      </w:r>
    </w:p>
    <w:p w:rsidR="009E2DC5" w:rsidRPr="00EF1841" w:rsidRDefault="009E2DC5" w:rsidP="00732182">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Obergrenzen für Ausfallhäufigkeiten</w:t>
      </w:r>
      <w:r w:rsidR="002B54FE">
        <w:rPr>
          <w:rFonts w:ascii="Times New Roman" w:hAnsi="Times New Roman"/>
          <w:sz w:val="24"/>
        </w:rPr>
        <w:t>,</w:t>
      </w:r>
    </w:p>
    <w:p w:rsidR="009E2DC5" w:rsidRPr="00EF1841" w:rsidRDefault="002B54FE" w:rsidP="00732182">
      <w:pPr>
        <w:spacing w:line="360" w:lineRule="exact"/>
        <w:ind w:left="357" w:hanging="357"/>
        <w:jc w:val="both"/>
        <w:rPr>
          <w:rFonts w:ascii="Times New Roman" w:hAnsi="Times New Roman"/>
          <w:sz w:val="24"/>
        </w:rPr>
      </w:pPr>
      <w:r>
        <w:rPr>
          <w:rFonts w:ascii="Times New Roman" w:hAnsi="Times New Roman"/>
          <w:sz w:val="24"/>
        </w:rPr>
        <w:t>•</w:t>
      </w:r>
      <w:r>
        <w:rPr>
          <w:rFonts w:ascii="Times New Roman" w:hAnsi="Times New Roman"/>
          <w:sz w:val="24"/>
        </w:rPr>
        <w:tab/>
        <w:t>k</w:t>
      </w:r>
      <w:r w:rsidR="009E2DC5" w:rsidRPr="00EF1841">
        <w:rPr>
          <w:rFonts w:ascii="Times New Roman" w:hAnsi="Times New Roman"/>
          <w:sz w:val="24"/>
        </w:rPr>
        <w:t>ontinuierliche Optimierungen</w:t>
      </w:r>
      <w:r>
        <w:rPr>
          <w:rFonts w:ascii="Times New Roman" w:hAnsi="Times New Roman"/>
          <w:sz w:val="24"/>
        </w:rPr>
        <w:t>,</w:t>
      </w:r>
    </w:p>
    <w:p w:rsidR="009E2DC5" w:rsidRPr="00EF1841" w:rsidRDefault="009E2DC5" w:rsidP="00732182">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Vereinbarungen zu definierten Produktqualitäten</w:t>
      </w:r>
      <w:r w:rsidR="002B54FE">
        <w:rPr>
          <w:rFonts w:ascii="Times New Roman" w:hAnsi="Times New Roman"/>
          <w:sz w:val="24"/>
        </w:rPr>
        <w:t>,</w:t>
      </w:r>
    </w:p>
    <w:p w:rsidR="009E2DC5" w:rsidRPr="00EF1841" w:rsidRDefault="009E2DC5" w:rsidP="00732182">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Mindestproduktionsmengen</w:t>
      </w:r>
      <w:r w:rsidR="002B54FE">
        <w:rPr>
          <w:rFonts w:ascii="Times New Roman" w:hAnsi="Times New Roman"/>
          <w:sz w:val="24"/>
        </w:rPr>
        <w:t xml:space="preserve"> und</w:t>
      </w:r>
    </w:p>
    <w:p w:rsidR="009E2DC5" w:rsidRPr="00EF1841" w:rsidRDefault="009E2DC5" w:rsidP="00732182">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Kostenobergrenzen für den gesamten Produktlebenszyklus</w:t>
      </w:r>
      <w:r w:rsidR="002B54FE">
        <w:rPr>
          <w:rFonts w:ascii="Times New Roman" w:hAnsi="Times New Roman"/>
          <w:sz w:val="24"/>
        </w:rPr>
        <w:t>.</w:t>
      </w:r>
    </w:p>
    <w:p w:rsidR="009E2DC5" w:rsidRPr="00EF1841" w:rsidRDefault="009E2DC5" w:rsidP="00EF1841">
      <w:pPr>
        <w:spacing w:line="360" w:lineRule="exact"/>
        <w:jc w:val="both"/>
        <w:rPr>
          <w:rFonts w:ascii="Times New Roman" w:hAnsi="Times New Roman"/>
          <w:sz w:val="24"/>
        </w:rPr>
      </w:pPr>
      <w:r w:rsidRPr="00EF1841">
        <w:rPr>
          <w:rFonts w:ascii="Times New Roman" w:hAnsi="Times New Roman"/>
          <w:sz w:val="24"/>
        </w:rPr>
        <w:t>Knapp zwei Drittel der Unternehmen geben in der Ausprägung „immer“ oder „überwi</w:t>
      </w:r>
      <w:r w:rsidRPr="00EF1841">
        <w:rPr>
          <w:rFonts w:ascii="Times New Roman" w:hAnsi="Times New Roman"/>
          <w:sz w:val="24"/>
        </w:rPr>
        <w:t>e</w:t>
      </w:r>
      <w:r w:rsidRPr="00EF1841">
        <w:rPr>
          <w:rFonts w:ascii="Times New Roman" w:hAnsi="Times New Roman"/>
          <w:sz w:val="24"/>
        </w:rPr>
        <w:t>gend“ mindestens eine dieser Garantien</w:t>
      </w:r>
      <w:r w:rsidR="00436BDB">
        <w:rPr>
          <w:rFonts w:ascii="Times New Roman" w:hAnsi="Times New Roman"/>
          <w:sz w:val="24"/>
        </w:rPr>
        <w:t xml:space="preserve"> an</w:t>
      </w:r>
      <w:r w:rsidRPr="00EF1841">
        <w:rPr>
          <w:rFonts w:ascii="Times New Roman" w:hAnsi="Times New Roman"/>
          <w:sz w:val="24"/>
        </w:rPr>
        <w:t xml:space="preserve">. </w:t>
      </w:r>
      <w:r w:rsidR="00436BDB" w:rsidRPr="00EF1841">
        <w:rPr>
          <w:rFonts w:ascii="Times New Roman" w:hAnsi="Times New Roman"/>
          <w:sz w:val="24"/>
        </w:rPr>
        <w:t xml:space="preserve">Rund ein Viertel der Unternehmen </w:t>
      </w:r>
      <w:r w:rsidR="001362DA">
        <w:rPr>
          <w:rFonts w:ascii="Times New Roman" w:hAnsi="Times New Roman"/>
          <w:sz w:val="24"/>
        </w:rPr>
        <w:t>nenn</w:t>
      </w:r>
      <w:r w:rsidR="00436BDB" w:rsidRPr="00EF1841">
        <w:rPr>
          <w:rFonts w:ascii="Times New Roman" w:hAnsi="Times New Roman"/>
          <w:sz w:val="24"/>
        </w:rPr>
        <w:t>t mi</w:t>
      </w:r>
      <w:r w:rsidR="00436BDB" w:rsidRPr="00EF1841">
        <w:rPr>
          <w:rFonts w:ascii="Times New Roman" w:hAnsi="Times New Roman"/>
          <w:sz w:val="24"/>
        </w:rPr>
        <w:t>n</w:t>
      </w:r>
      <w:r w:rsidR="00436BDB" w:rsidRPr="00EF1841">
        <w:rPr>
          <w:rFonts w:ascii="Times New Roman" w:hAnsi="Times New Roman"/>
          <w:sz w:val="24"/>
        </w:rPr>
        <w:t xml:space="preserve">destens vier Garantien. </w:t>
      </w:r>
      <w:r w:rsidRPr="00EF1841">
        <w:rPr>
          <w:rFonts w:ascii="Times New Roman" w:hAnsi="Times New Roman"/>
          <w:sz w:val="24"/>
        </w:rPr>
        <w:t xml:space="preserve">Nur </w:t>
      </w:r>
      <w:r w:rsidR="00D14C0C">
        <w:rPr>
          <w:rFonts w:ascii="Times New Roman" w:hAnsi="Times New Roman"/>
          <w:sz w:val="24"/>
        </w:rPr>
        <w:t>7 </w:t>
      </w:r>
      <w:r w:rsidRPr="00EF1841">
        <w:rPr>
          <w:rFonts w:ascii="Times New Roman" w:hAnsi="Times New Roman"/>
          <w:sz w:val="24"/>
        </w:rPr>
        <w:t>Prozent der Unternehmen arbeiten mit allen sieben Gara</w:t>
      </w:r>
      <w:r w:rsidRPr="00EF1841">
        <w:rPr>
          <w:rFonts w:ascii="Times New Roman" w:hAnsi="Times New Roman"/>
          <w:sz w:val="24"/>
        </w:rPr>
        <w:t>n</w:t>
      </w:r>
      <w:r w:rsidRPr="00EF1841">
        <w:rPr>
          <w:rFonts w:ascii="Times New Roman" w:hAnsi="Times New Roman"/>
          <w:sz w:val="24"/>
        </w:rPr>
        <w:t xml:space="preserve">tien. Im Durchschnitt </w:t>
      </w:r>
      <w:r w:rsidR="00F30213" w:rsidRPr="00EF1841">
        <w:rPr>
          <w:rFonts w:ascii="Times New Roman" w:hAnsi="Times New Roman"/>
          <w:sz w:val="24"/>
        </w:rPr>
        <w:t>bieten</w:t>
      </w:r>
      <w:r w:rsidRPr="00EF1841">
        <w:rPr>
          <w:rFonts w:ascii="Times New Roman" w:hAnsi="Times New Roman"/>
          <w:sz w:val="24"/>
        </w:rPr>
        <w:t xml:space="preserve"> die Unternehmen 2,2 der sieben aufgelisteten Garantieleistu</w:t>
      </w:r>
      <w:r w:rsidRPr="00EF1841">
        <w:rPr>
          <w:rFonts w:ascii="Times New Roman" w:hAnsi="Times New Roman"/>
          <w:sz w:val="24"/>
        </w:rPr>
        <w:t>n</w:t>
      </w:r>
      <w:r w:rsidRPr="00EF1841">
        <w:rPr>
          <w:rFonts w:ascii="Times New Roman" w:hAnsi="Times New Roman"/>
          <w:sz w:val="24"/>
        </w:rPr>
        <w:t>gen</w:t>
      </w:r>
      <w:r w:rsidR="00F30213" w:rsidRPr="00EF1841">
        <w:rPr>
          <w:rFonts w:ascii="Times New Roman" w:hAnsi="Times New Roman"/>
          <w:sz w:val="24"/>
        </w:rPr>
        <w:t xml:space="preserve"> an</w:t>
      </w:r>
      <w:r w:rsidRPr="00EF1841">
        <w:rPr>
          <w:rFonts w:ascii="Times New Roman" w:hAnsi="Times New Roman"/>
          <w:sz w:val="24"/>
        </w:rPr>
        <w:t xml:space="preserve">. </w:t>
      </w:r>
    </w:p>
    <w:p w:rsidR="00F30213" w:rsidRPr="00EF1841" w:rsidRDefault="00F30213" w:rsidP="00EF1841">
      <w:pPr>
        <w:spacing w:line="360" w:lineRule="exact"/>
        <w:jc w:val="both"/>
        <w:rPr>
          <w:rFonts w:ascii="Times New Roman" w:hAnsi="Times New Roman"/>
          <w:sz w:val="24"/>
        </w:rPr>
      </w:pPr>
    </w:p>
    <w:p w:rsidR="00395901" w:rsidRPr="00EF1841" w:rsidRDefault="009E2DC5" w:rsidP="00EF1841">
      <w:pPr>
        <w:spacing w:line="360" w:lineRule="exact"/>
        <w:jc w:val="both"/>
        <w:rPr>
          <w:rFonts w:ascii="Times New Roman" w:hAnsi="Times New Roman"/>
          <w:sz w:val="24"/>
        </w:rPr>
      </w:pPr>
      <w:r w:rsidRPr="00EF1841">
        <w:rPr>
          <w:rFonts w:ascii="Times New Roman" w:hAnsi="Times New Roman"/>
          <w:sz w:val="24"/>
        </w:rPr>
        <w:t>Soll das Verhalten in Bezug auf die Garantieleistungen in die Definition von hybriden U</w:t>
      </w:r>
      <w:r w:rsidRPr="00EF1841">
        <w:rPr>
          <w:rFonts w:ascii="Times New Roman" w:hAnsi="Times New Roman"/>
          <w:sz w:val="24"/>
        </w:rPr>
        <w:t>n</w:t>
      </w:r>
      <w:r w:rsidRPr="00EF1841">
        <w:rPr>
          <w:rFonts w:ascii="Times New Roman" w:hAnsi="Times New Roman"/>
          <w:sz w:val="24"/>
        </w:rPr>
        <w:t>ternehmen einfließen, muss ein Grenzwert festgelegt werden. Gefordert werden minde</w:t>
      </w:r>
      <w:r w:rsidRPr="00EF1841">
        <w:rPr>
          <w:rFonts w:ascii="Times New Roman" w:hAnsi="Times New Roman"/>
          <w:sz w:val="24"/>
        </w:rPr>
        <w:t>s</w:t>
      </w:r>
      <w:r w:rsidRPr="00EF1841">
        <w:rPr>
          <w:rFonts w:ascii="Times New Roman" w:hAnsi="Times New Roman"/>
          <w:sz w:val="24"/>
        </w:rPr>
        <w:t>tens drei von sieben Garantien. Diese Bedingung erfüllen umsatzgewichtet hochgerechnet knapp zwei Fünftel der Unternehmen. Um noch stärker das Argument der Lebenszyklusb</w:t>
      </w:r>
      <w:r w:rsidRPr="00EF1841">
        <w:rPr>
          <w:rFonts w:ascii="Times New Roman" w:hAnsi="Times New Roman"/>
          <w:sz w:val="24"/>
        </w:rPr>
        <w:t>e</w:t>
      </w:r>
      <w:r w:rsidRPr="00EF1841">
        <w:rPr>
          <w:rFonts w:ascii="Times New Roman" w:hAnsi="Times New Roman"/>
          <w:sz w:val="24"/>
        </w:rPr>
        <w:t>trachtung herauszustellen wird zusätzlich verlangt, dass die Unternehmen generell mit i</w:t>
      </w:r>
      <w:r w:rsidRPr="00EF1841">
        <w:rPr>
          <w:rFonts w:ascii="Times New Roman" w:hAnsi="Times New Roman"/>
          <w:sz w:val="24"/>
        </w:rPr>
        <w:t>h</w:t>
      </w:r>
      <w:r w:rsidRPr="00EF1841">
        <w:rPr>
          <w:rFonts w:ascii="Times New Roman" w:hAnsi="Times New Roman"/>
          <w:sz w:val="24"/>
        </w:rPr>
        <w:t>ren Kunden die Leistungsbündel ex ante in Rahmenverträgen festlegen. Solche Vereinb</w:t>
      </w:r>
      <w:r w:rsidRPr="00EF1841">
        <w:rPr>
          <w:rFonts w:ascii="Times New Roman" w:hAnsi="Times New Roman"/>
          <w:sz w:val="24"/>
        </w:rPr>
        <w:t>a</w:t>
      </w:r>
      <w:r w:rsidRPr="00EF1841">
        <w:rPr>
          <w:rFonts w:ascii="Times New Roman" w:hAnsi="Times New Roman"/>
          <w:sz w:val="24"/>
        </w:rPr>
        <w:t>rungen schließt rund ein Drittel der Unternehmen zumindest für den überwiegenden Teil ihrer Kunden ab</w:t>
      </w:r>
      <w:r w:rsidRPr="00436BDB">
        <w:rPr>
          <w:rFonts w:ascii="Times New Roman" w:hAnsi="Times New Roman"/>
          <w:sz w:val="24"/>
        </w:rPr>
        <w:t>. Diese beiden Bedingungen – Mindestanzahl von Garantien und Rahme</w:t>
      </w:r>
      <w:r w:rsidRPr="00436BDB">
        <w:rPr>
          <w:rFonts w:ascii="Times New Roman" w:hAnsi="Times New Roman"/>
          <w:sz w:val="24"/>
        </w:rPr>
        <w:t>n</w:t>
      </w:r>
      <w:r w:rsidRPr="00436BDB">
        <w:rPr>
          <w:rFonts w:ascii="Times New Roman" w:hAnsi="Times New Roman"/>
          <w:sz w:val="24"/>
        </w:rPr>
        <w:t>verträge</w:t>
      </w:r>
      <w:r w:rsidR="002B54FE">
        <w:rPr>
          <w:rFonts w:ascii="Times New Roman" w:hAnsi="Times New Roman"/>
          <w:sz w:val="24"/>
        </w:rPr>
        <w:t>n</w:t>
      </w:r>
      <w:r w:rsidRPr="00436BDB">
        <w:rPr>
          <w:rFonts w:ascii="Times New Roman" w:hAnsi="Times New Roman"/>
          <w:sz w:val="24"/>
        </w:rPr>
        <w:t xml:space="preserve"> – erfüllen gleichzeitig nur knapp 8 Prozent der Unternehmen</w:t>
      </w:r>
      <w:r w:rsidR="007923CD">
        <w:rPr>
          <w:rFonts w:ascii="Times New Roman" w:hAnsi="Times New Roman"/>
          <w:sz w:val="24"/>
        </w:rPr>
        <w:t>.</w:t>
      </w:r>
      <w:r w:rsidR="002B54FE">
        <w:rPr>
          <w:rFonts w:ascii="Times New Roman" w:hAnsi="Times New Roman"/>
          <w:sz w:val="24"/>
        </w:rPr>
        <w:t xml:space="preserve"> Unternehmen, die </w:t>
      </w:r>
      <w:r w:rsidR="002B54FE">
        <w:rPr>
          <w:rFonts w:ascii="Times New Roman" w:hAnsi="Times New Roman"/>
          <w:sz w:val="24"/>
        </w:rPr>
        <w:lastRenderedPageBreak/>
        <w:t>diese drei Eigenschaften erfüllen, werden Hy</w:t>
      </w:r>
      <w:r w:rsidR="00397675">
        <w:rPr>
          <w:rFonts w:ascii="Times New Roman" w:hAnsi="Times New Roman"/>
          <w:sz w:val="24"/>
        </w:rPr>
        <w:t>brid</w:t>
      </w:r>
      <w:r w:rsidR="00B35429">
        <w:rPr>
          <w:rFonts w:ascii="Times New Roman" w:hAnsi="Times New Roman"/>
          <w:sz w:val="24"/>
        </w:rPr>
        <w:t>-Plus-Unternehmen genannt. Insgesamt sind dies</w:t>
      </w:r>
      <w:r w:rsidR="002B54FE">
        <w:rPr>
          <w:rFonts w:ascii="Times New Roman" w:hAnsi="Times New Roman"/>
          <w:sz w:val="24"/>
        </w:rPr>
        <w:t xml:space="preserve"> 2 Prozent aller Unternehmen (Abbildung 1).</w:t>
      </w:r>
    </w:p>
    <w:p w:rsidR="00395901" w:rsidRPr="00EF1841" w:rsidRDefault="00395901" w:rsidP="00EF1841">
      <w:pPr>
        <w:spacing w:line="360" w:lineRule="exact"/>
        <w:jc w:val="both"/>
        <w:rPr>
          <w:rFonts w:ascii="Times New Roman" w:hAnsi="Times New Roman"/>
          <w:sz w:val="24"/>
        </w:rPr>
      </w:pPr>
    </w:p>
    <w:p w:rsidR="00A92F1F" w:rsidRPr="00D14C0C" w:rsidRDefault="00A92F1F" w:rsidP="00EF1841">
      <w:pPr>
        <w:spacing w:line="360" w:lineRule="exact"/>
        <w:jc w:val="both"/>
        <w:rPr>
          <w:rFonts w:ascii="Times New Roman" w:hAnsi="Times New Roman"/>
          <w:b/>
          <w:sz w:val="28"/>
          <w:szCs w:val="28"/>
        </w:rPr>
      </w:pPr>
      <w:r w:rsidRPr="00D14C0C">
        <w:rPr>
          <w:rFonts w:ascii="Times New Roman" w:hAnsi="Times New Roman"/>
          <w:b/>
          <w:sz w:val="28"/>
          <w:szCs w:val="28"/>
        </w:rPr>
        <w:t>Motive und Merkmale hybrider Unternehmen</w:t>
      </w:r>
    </w:p>
    <w:p w:rsidR="00A92F1F" w:rsidRDefault="00A92F1F" w:rsidP="00EC49F2">
      <w:pPr>
        <w:spacing w:line="360" w:lineRule="exact"/>
        <w:jc w:val="both"/>
        <w:rPr>
          <w:rFonts w:ascii="Times New Roman" w:hAnsi="Times New Roman"/>
          <w:sz w:val="24"/>
        </w:rPr>
      </w:pPr>
      <w:r w:rsidRPr="00EF1841">
        <w:rPr>
          <w:rFonts w:ascii="Times New Roman" w:hAnsi="Times New Roman"/>
          <w:sz w:val="24"/>
        </w:rPr>
        <w:t xml:space="preserve">Ein zentrales Ergebnis vieler Auswertungen im Rahmen des IW-Zukunftspanels ist, dass </w:t>
      </w:r>
      <w:r w:rsidR="00436BDB">
        <w:rPr>
          <w:rFonts w:ascii="Times New Roman" w:hAnsi="Times New Roman"/>
          <w:sz w:val="24"/>
        </w:rPr>
        <w:t xml:space="preserve">der Erfolg von </w:t>
      </w:r>
      <w:r w:rsidRPr="00EF1841">
        <w:rPr>
          <w:rFonts w:ascii="Times New Roman" w:hAnsi="Times New Roman"/>
          <w:sz w:val="24"/>
        </w:rPr>
        <w:t xml:space="preserve">Unternehmen </w:t>
      </w:r>
      <w:r w:rsidR="00436BDB">
        <w:rPr>
          <w:rFonts w:ascii="Times New Roman" w:hAnsi="Times New Roman"/>
          <w:sz w:val="24"/>
        </w:rPr>
        <w:t>davon abhängt, ob sie</w:t>
      </w:r>
      <w:r w:rsidR="00EC49F2">
        <w:rPr>
          <w:rFonts w:ascii="Times New Roman" w:hAnsi="Times New Roman"/>
          <w:sz w:val="24"/>
        </w:rPr>
        <w:t xml:space="preserve"> </w:t>
      </w:r>
      <w:r w:rsidRPr="00EF1841">
        <w:rPr>
          <w:rFonts w:ascii="Times New Roman" w:hAnsi="Times New Roman"/>
          <w:sz w:val="24"/>
        </w:rPr>
        <w:t>forschen und entwickeln,</w:t>
      </w:r>
      <w:r w:rsidR="00EC49F2">
        <w:rPr>
          <w:rFonts w:ascii="Times New Roman" w:hAnsi="Times New Roman"/>
          <w:sz w:val="24"/>
        </w:rPr>
        <w:t xml:space="preserve"> </w:t>
      </w:r>
      <w:r w:rsidRPr="00EF1841">
        <w:rPr>
          <w:rFonts w:ascii="Times New Roman" w:hAnsi="Times New Roman"/>
          <w:sz w:val="24"/>
        </w:rPr>
        <w:t>innovativ sind,</w:t>
      </w:r>
      <w:r w:rsidR="00EC49F2">
        <w:rPr>
          <w:rFonts w:ascii="Times New Roman" w:hAnsi="Times New Roman"/>
          <w:sz w:val="24"/>
        </w:rPr>
        <w:t xml:space="preserve"> </w:t>
      </w:r>
      <w:r w:rsidRPr="00EF1841">
        <w:rPr>
          <w:rFonts w:ascii="Times New Roman" w:hAnsi="Times New Roman"/>
          <w:sz w:val="24"/>
        </w:rPr>
        <w:t>international tätig und</w:t>
      </w:r>
      <w:r w:rsidR="00EC49F2">
        <w:rPr>
          <w:rFonts w:ascii="Times New Roman" w:hAnsi="Times New Roman"/>
          <w:sz w:val="24"/>
        </w:rPr>
        <w:t xml:space="preserve"> </w:t>
      </w:r>
      <w:r w:rsidRPr="00EF1841">
        <w:rPr>
          <w:rFonts w:ascii="Times New Roman" w:hAnsi="Times New Roman"/>
          <w:sz w:val="24"/>
        </w:rPr>
        <w:t>differenzierungsfähig sind.</w:t>
      </w:r>
    </w:p>
    <w:p w:rsidR="00E3413E" w:rsidRPr="00EF1841" w:rsidRDefault="00E3413E" w:rsidP="00EC49F2">
      <w:pPr>
        <w:spacing w:line="360" w:lineRule="exact"/>
        <w:jc w:val="both"/>
        <w:rPr>
          <w:rFonts w:ascii="Times New Roman" w:hAnsi="Times New Roman"/>
          <w:sz w:val="24"/>
        </w:rPr>
      </w:pPr>
    </w:p>
    <w:p w:rsidR="00A92F1F" w:rsidRDefault="00A92F1F" w:rsidP="00EF1841">
      <w:pPr>
        <w:spacing w:line="360" w:lineRule="exact"/>
        <w:jc w:val="both"/>
        <w:rPr>
          <w:rFonts w:ascii="Times New Roman" w:hAnsi="Times New Roman"/>
          <w:sz w:val="24"/>
        </w:rPr>
      </w:pPr>
      <w:r w:rsidRPr="00EF1841">
        <w:rPr>
          <w:rFonts w:ascii="Times New Roman" w:hAnsi="Times New Roman"/>
          <w:sz w:val="24"/>
        </w:rPr>
        <w:t>Die Ergebnisse in Tabelle 1 zeigen, dass die Ausstattung der hybriden Unternehmen mit diesen Erfolgsfaktoren deutlich besser ist als in</w:t>
      </w:r>
      <w:r w:rsidR="008E1CB9">
        <w:rPr>
          <w:rFonts w:ascii="Times New Roman" w:hAnsi="Times New Roman"/>
          <w:sz w:val="24"/>
        </w:rPr>
        <w:t xml:space="preserve"> der Vergleichsgruppe der nicht </w:t>
      </w:r>
      <w:r w:rsidRPr="00EF1841">
        <w:rPr>
          <w:rFonts w:ascii="Times New Roman" w:hAnsi="Times New Roman"/>
          <w:sz w:val="24"/>
        </w:rPr>
        <w:t>hybriden Unternehmen:</w:t>
      </w:r>
    </w:p>
    <w:p w:rsidR="002B54FE" w:rsidRPr="00EF1841" w:rsidRDefault="002B54FE" w:rsidP="00EF1841">
      <w:pPr>
        <w:spacing w:line="360" w:lineRule="exact"/>
        <w:jc w:val="both"/>
        <w:rPr>
          <w:rFonts w:ascii="Times New Roman" w:hAnsi="Times New Roman"/>
          <w:sz w:val="24"/>
        </w:rPr>
      </w:pPr>
    </w:p>
    <w:p w:rsidR="00B200B2" w:rsidRPr="00B200B2" w:rsidRDefault="00B200B2" w:rsidP="00B200B2">
      <w:pPr>
        <w:jc w:val="both"/>
        <w:rPr>
          <w:rFonts w:ascii="Times New Roman" w:hAnsi="Times New Roman"/>
        </w:rPr>
      </w:pPr>
      <w:r w:rsidRPr="00B200B2">
        <w:rPr>
          <w:rFonts w:ascii="Times New Roman" w:hAnsi="Times New Roman"/>
        </w:rPr>
        <w:t>Tabelle 1</w:t>
      </w:r>
    </w:p>
    <w:p w:rsidR="00B200B2" w:rsidRPr="00B200B2" w:rsidRDefault="00B200B2" w:rsidP="00B200B2">
      <w:pPr>
        <w:spacing w:before="120"/>
        <w:jc w:val="both"/>
        <w:rPr>
          <w:rFonts w:ascii="Times New Roman" w:hAnsi="Times New Roman"/>
          <w:b/>
          <w:sz w:val="32"/>
          <w:szCs w:val="32"/>
        </w:rPr>
      </w:pPr>
      <w:r w:rsidRPr="00B200B2">
        <w:rPr>
          <w:rFonts w:ascii="Times New Roman" w:hAnsi="Times New Roman"/>
          <w:b/>
          <w:sz w:val="32"/>
          <w:szCs w:val="32"/>
        </w:rPr>
        <w:t>Erfolgsfaktoren</w:t>
      </w:r>
    </w:p>
    <w:p w:rsidR="00B200B2" w:rsidRPr="00B200B2" w:rsidRDefault="00EC49F2" w:rsidP="00B200B2">
      <w:pPr>
        <w:jc w:val="both"/>
        <w:rPr>
          <w:rFonts w:ascii="Times New Roman" w:hAnsi="Times New Roman"/>
          <w:sz w:val="22"/>
          <w:szCs w:val="22"/>
        </w:rPr>
      </w:pPr>
      <w:r>
        <w:rPr>
          <w:rFonts w:ascii="Times New Roman" w:hAnsi="Times New Roman"/>
          <w:sz w:val="22"/>
          <w:szCs w:val="22"/>
        </w:rPr>
        <w:t>Zustimmung in Prozent der jeweiligen Unternehmenstypen</w:t>
      </w:r>
      <w:r w:rsidR="00B200B2" w:rsidRPr="00B200B2">
        <w:rPr>
          <w:rFonts w:ascii="Times New Roman" w:hAnsi="Times New Roman"/>
          <w:sz w:val="22"/>
          <w:szCs w:val="22"/>
        </w:rPr>
        <w:t>; Angaben für 2009</w:t>
      </w:r>
    </w:p>
    <w:p w:rsidR="00B200B2" w:rsidRPr="00A25A68" w:rsidRDefault="00B200B2" w:rsidP="00B200B2">
      <w:pPr>
        <w:jc w:val="both"/>
        <w:rPr>
          <w:rFonts w:ascii="Times New Roman" w:hAnsi="Times New Roman"/>
        </w:rPr>
      </w:pPr>
    </w:p>
    <w:tbl>
      <w:tblPr>
        <w:tblStyle w:val="Tabellenraster"/>
        <w:tblW w:w="4891" w:type="pct"/>
        <w:tblInd w:w="108" w:type="dxa"/>
        <w:shd w:val="pct10" w:color="auto" w:fill="auto"/>
        <w:tblLayout w:type="fixed"/>
        <w:tblLook w:val="04A0" w:firstRow="1" w:lastRow="0" w:firstColumn="1" w:lastColumn="0" w:noHBand="0" w:noVBand="1"/>
      </w:tblPr>
      <w:tblGrid>
        <w:gridCol w:w="3969"/>
        <w:gridCol w:w="1417"/>
        <w:gridCol w:w="1140"/>
        <w:gridCol w:w="1140"/>
        <w:gridCol w:w="1141"/>
      </w:tblGrid>
      <w:tr w:rsidR="00A92F1F" w:rsidRPr="00EF1841" w:rsidTr="00DD315E">
        <w:trPr>
          <w:trHeight w:val="380"/>
        </w:trPr>
        <w:tc>
          <w:tcPr>
            <w:tcW w:w="2253" w:type="pct"/>
            <w:tcBorders>
              <w:bottom w:val="nil"/>
            </w:tcBorders>
            <w:shd w:val="pct10" w:color="auto" w:fill="auto"/>
            <w:noWrap/>
            <w:vAlign w:val="center"/>
          </w:tcPr>
          <w:p w:rsidR="00A92F1F" w:rsidRPr="00DE0D1D" w:rsidRDefault="00A92F1F" w:rsidP="000978D3">
            <w:pPr>
              <w:spacing w:before="60" w:after="60" w:line="240" w:lineRule="auto"/>
              <w:ind w:right="113"/>
            </w:pPr>
          </w:p>
        </w:tc>
        <w:tc>
          <w:tcPr>
            <w:tcW w:w="804" w:type="pct"/>
            <w:tcBorders>
              <w:bottom w:val="nil"/>
            </w:tcBorders>
            <w:shd w:val="pct10" w:color="auto" w:fill="auto"/>
            <w:noWrap/>
            <w:vAlign w:val="center"/>
          </w:tcPr>
          <w:p w:rsidR="00A92F1F" w:rsidRPr="00DE0D1D" w:rsidRDefault="008E1CB9" w:rsidP="000978D3">
            <w:pPr>
              <w:spacing w:before="60" w:after="60" w:line="240" w:lineRule="auto"/>
              <w:ind w:right="113"/>
              <w:jc w:val="center"/>
            </w:pPr>
            <w:r>
              <w:t>Nicht h</w:t>
            </w:r>
            <w:r w:rsidR="00A92F1F" w:rsidRPr="00DE0D1D">
              <w:t>ybrid</w:t>
            </w:r>
          </w:p>
        </w:tc>
        <w:tc>
          <w:tcPr>
            <w:tcW w:w="1942" w:type="pct"/>
            <w:gridSpan w:val="3"/>
            <w:shd w:val="pct10" w:color="auto" w:fill="auto"/>
            <w:noWrap/>
            <w:vAlign w:val="center"/>
          </w:tcPr>
          <w:p w:rsidR="00A92F1F" w:rsidRPr="00DE0D1D" w:rsidRDefault="00A92F1F" w:rsidP="000978D3">
            <w:pPr>
              <w:spacing w:before="60" w:after="60" w:line="240" w:lineRule="auto"/>
              <w:jc w:val="center"/>
            </w:pPr>
            <w:r w:rsidRPr="00DE0D1D">
              <w:t>Hybrid</w:t>
            </w:r>
          </w:p>
        </w:tc>
      </w:tr>
      <w:tr w:rsidR="00A92F1F" w:rsidRPr="00EF1841" w:rsidTr="00DD315E">
        <w:trPr>
          <w:trHeight w:val="380"/>
        </w:trPr>
        <w:tc>
          <w:tcPr>
            <w:tcW w:w="2253" w:type="pct"/>
            <w:tcBorders>
              <w:top w:val="nil"/>
              <w:bottom w:val="nil"/>
            </w:tcBorders>
            <w:shd w:val="pct10" w:color="auto" w:fill="auto"/>
            <w:noWrap/>
            <w:vAlign w:val="center"/>
          </w:tcPr>
          <w:p w:rsidR="00A92F1F" w:rsidRPr="00DE0D1D" w:rsidRDefault="00A92F1F" w:rsidP="000978D3">
            <w:pPr>
              <w:spacing w:before="60" w:after="60" w:line="240" w:lineRule="auto"/>
              <w:ind w:right="113"/>
            </w:pPr>
          </w:p>
        </w:tc>
        <w:tc>
          <w:tcPr>
            <w:tcW w:w="804" w:type="pct"/>
            <w:tcBorders>
              <w:top w:val="nil"/>
            </w:tcBorders>
            <w:shd w:val="pct10" w:color="auto" w:fill="auto"/>
            <w:noWrap/>
            <w:vAlign w:val="center"/>
          </w:tcPr>
          <w:p w:rsidR="00A92F1F" w:rsidRPr="00DE0D1D" w:rsidRDefault="00A92F1F" w:rsidP="000978D3">
            <w:pPr>
              <w:spacing w:before="60" w:after="60" w:line="240" w:lineRule="auto"/>
              <w:ind w:right="113"/>
              <w:jc w:val="center"/>
            </w:pPr>
          </w:p>
        </w:tc>
        <w:tc>
          <w:tcPr>
            <w:tcW w:w="647" w:type="pct"/>
            <w:shd w:val="pct10" w:color="auto" w:fill="auto"/>
            <w:noWrap/>
            <w:vAlign w:val="center"/>
          </w:tcPr>
          <w:p w:rsidR="00A92F1F" w:rsidRPr="00DE0D1D" w:rsidRDefault="00A92F1F" w:rsidP="000978D3">
            <w:pPr>
              <w:spacing w:before="60" w:after="60" w:line="240" w:lineRule="auto"/>
              <w:ind w:right="113"/>
              <w:jc w:val="center"/>
            </w:pPr>
          </w:p>
        </w:tc>
        <w:tc>
          <w:tcPr>
            <w:tcW w:w="1295" w:type="pct"/>
            <w:gridSpan w:val="2"/>
            <w:shd w:val="pct10" w:color="auto" w:fill="auto"/>
            <w:noWrap/>
            <w:vAlign w:val="center"/>
          </w:tcPr>
          <w:p w:rsidR="00A92F1F" w:rsidRPr="00DE0D1D" w:rsidRDefault="005F314B" w:rsidP="000978D3">
            <w:pPr>
              <w:spacing w:before="60" w:after="60" w:line="240" w:lineRule="auto"/>
              <w:ind w:right="113"/>
            </w:pPr>
            <w:r w:rsidRPr="00DE0D1D">
              <w:t>D</w:t>
            </w:r>
            <w:r w:rsidR="00A92F1F" w:rsidRPr="00DE0D1D">
              <w:t>avon</w:t>
            </w:r>
            <w:r w:rsidRPr="00DE0D1D">
              <w:t>:</w:t>
            </w:r>
          </w:p>
        </w:tc>
      </w:tr>
      <w:tr w:rsidR="00A92F1F" w:rsidRPr="00EF1841" w:rsidTr="00DD315E">
        <w:trPr>
          <w:trHeight w:val="380"/>
        </w:trPr>
        <w:tc>
          <w:tcPr>
            <w:tcW w:w="2253" w:type="pct"/>
            <w:tcBorders>
              <w:top w:val="nil"/>
            </w:tcBorders>
            <w:shd w:val="pct10" w:color="auto" w:fill="auto"/>
            <w:noWrap/>
            <w:vAlign w:val="center"/>
            <w:hideMark/>
          </w:tcPr>
          <w:p w:rsidR="00A92F1F" w:rsidRPr="00DE0D1D" w:rsidRDefault="00A92F1F" w:rsidP="000978D3">
            <w:pPr>
              <w:spacing w:before="60" w:after="60" w:line="240" w:lineRule="auto"/>
              <w:ind w:right="113"/>
            </w:pPr>
          </w:p>
        </w:tc>
        <w:tc>
          <w:tcPr>
            <w:tcW w:w="804" w:type="pct"/>
            <w:shd w:val="pct10" w:color="auto" w:fill="auto"/>
            <w:noWrap/>
            <w:vAlign w:val="center"/>
            <w:hideMark/>
          </w:tcPr>
          <w:p w:rsidR="00A92F1F" w:rsidRPr="00DE0D1D" w:rsidRDefault="00A92F1F" w:rsidP="000978D3">
            <w:pPr>
              <w:spacing w:before="60" w:after="60" w:line="240" w:lineRule="auto"/>
              <w:ind w:right="113"/>
              <w:jc w:val="center"/>
            </w:pPr>
            <w:r w:rsidRPr="00DE0D1D">
              <w:t>Gesamt</w:t>
            </w:r>
          </w:p>
        </w:tc>
        <w:tc>
          <w:tcPr>
            <w:tcW w:w="647" w:type="pct"/>
            <w:shd w:val="pct10" w:color="auto" w:fill="auto"/>
            <w:noWrap/>
            <w:vAlign w:val="center"/>
            <w:hideMark/>
          </w:tcPr>
          <w:p w:rsidR="00A92F1F" w:rsidRPr="00DE0D1D" w:rsidRDefault="00A92F1F" w:rsidP="000978D3">
            <w:pPr>
              <w:spacing w:before="60" w:after="60" w:line="240" w:lineRule="auto"/>
              <w:ind w:right="113"/>
              <w:jc w:val="center"/>
            </w:pPr>
            <w:r w:rsidRPr="00DE0D1D">
              <w:t>Gesamt</w:t>
            </w:r>
          </w:p>
        </w:tc>
        <w:tc>
          <w:tcPr>
            <w:tcW w:w="647" w:type="pct"/>
            <w:shd w:val="pct10" w:color="auto" w:fill="auto"/>
            <w:noWrap/>
            <w:vAlign w:val="center"/>
            <w:hideMark/>
          </w:tcPr>
          <w:p w:rsidR="00A92F1F" w:rsidRPr="00DE0D1D" w:rsidRDefault="00A92F1F" w:rsidP="000978D3">
            <w:pPr>
              <w:spacing w:before="60" w:after="60" w:line="240" w:lineRule="auto"/>
              <w:ind w:right="113"/>
              <w:jc w:val="center"/>
            </w:pPr>
            <w:r w:rsidRPr="00DE0D1D">
              <w:t>Standard</w:t>
            </w:r>
          </w:p>
        </w:tc>
        <w:tc>
          <w:tcPr>
            <w:tcW w:w="648" w:type="pct"/>
            <w:shd w:val="pct10" w:color="auto" w:fill="auto"/>
            <w:noWrap/>
            <w:vAlign w:val="center"/>
            <w:hideMark/>
          </w:tcPr>
          <w:p w:rsidR="00A92F1F" w:rsidRPr="00DE0D1D" w:rsidRDefault="00A92F1F" w:rsidP="000978D3">
            <w:pPr>
              <w:spacing w:before="60" w:after="60" w:line="240" w:lineRule="auto"/>
              <w:ind w:right="113"/>
              <w:jc w:val="center"/>
            </w:pPr>
            <w:r w:rsidRPr="00DE0D1D">
              <w:t>Plus</w:t>
            </w:r>
          </w:p>
        </w:tc>
      </w:tr>
      <w:tr w:rsidR="00A92F1F" w:rsidRPr="00EF1841" w:rsidTr="00DD315E">
        <w:trPr>
          <w:trHeight w:hRule="exact" w:val="397"/>
        </w:trPr>
        <w:tc>
          <w:tcPr>
            <w:tcW w:w="2253" w:type="pct"/>
            <w:shd w:val="pct10" w:color="auto" w:fill="auto"/>
            <w:noWrap/>
            <w:vAlign w:val="center"/>
            <w:hideMark/>
          </w:tcPr>
          <w:p w:rsidR="00A92F1F" w:rsidRPr="00DE0D1D" w:rsidRDefault="00A92F1F" w:rsidP="000978D3">
            <w:pPr>
              <w:spacing w:before="60" w:after="60" w:line="240" w:lineRule="auto"/>
              <w:ind w:right="113"/>
            </w:pPr>
            <w:r w:rsidRPr="00DE0D1D">
              <w:t>Forschungstätigkeit</w:t>
            </w:r>
          </w:p>
        </w:tc>
        <w:tc>
          <w:tcPr>
            <w:tcW w:w="804"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39,3</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55,9</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54,3</w:t>
            </w:r>
          </w:p>
        </w:tc>
        <w:tc>
          <w:tcPr>
            <w:tcW w:w="648"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67,1</w:t>
            </w:r>
          </w:p>
        </w:tc>
      </w:tr>
      <w:tr w:rsidR="00A92F1F" w:rsidRPr="00EF1841" w:rsidTr="00DD315E">
        <w:trPr>
          <w:trHeight w:hRule="exact" w:val="397"/>
        </w:trPr>
        <w:tc>
          <w:tcPr>
            <w:tcW w:w="2253" w:type="pct"/>
            <w:shd w:val="pct10" w:color="auto" w:fill="auto"/>
            <w:noWrap/>
            <w:vAlign w:val="center"/>
            <w:hideMark/>
          </w:tcPr>
          <w:p w:rsidR="00A92F1F" w:rsidRPr="00DE0D1D" w:rsidRDefault="00A92F1F" w:rsidP="000978D3">
            <w:pPr>
              <w:spacing w:before="60" w:after="60" w:line="240" w:lineRule="auto"/>
              <w:ind w:right="113"/>
            </w:pPr>
            <w:r w:rsidRPr="00DE0D1D">
              <w:t>Entwicklungstätigkeit</w:t>
            </w:r>
          </w:p>
        </w:tc>
        <w:tc>
          <w:tcPr>
            <w:tcW w:w="804"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65,5</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85,6</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83,6</w:t>
            </w:r>
          </w:p>
        </w:tc>
        <w:tc>
          <w:tcPr>
            <w:tcW w:w="648"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99,3</w:t>
            </w:r>
          </w:p>
        </w:tc>
      </w:tr>
      <w:tr w:rsidR="00A92F1F" w:rsidRPr="00EF1841" w:rsidTr="00DD315E">
        <w:trPr>
          <w:trHeight w:hRule="exact" w:val="397"/>
        </w:trPr>
        <w:tc>
          <w:tcPr>
            <w:tcW w:w="2253" w:type="pct"/>
            <w:shd w:val="pct10" w:color="auto" w:fill="auto"/>
            <w:noWrap/>
            <w:vAlign w:val="center"/>
            <w:hideMark/>
          </w:tcPr>
          <w:p w:rsidR="00A92F1F" w:rsidRPr="00DE0D1D" w:rsidRDefault="00A92F1F" w:rsidP="000978D3">
            <w:pPr>
              <w:spacing w:before="60" w:after="60" w:line="240" w:lineRule="auto"/>
              <w:ind w:right="113"/>
            </w:pPr>
            <w:r w:rsidRPr="00DE0D1D">
              <w:t>Konstruktionstätigkeit</w:t>
            </w:r>
          </w:p>
        </w:tc>
        <w:tc>
          <w:tcPr>
            <w:tcW w:w="804"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48,9</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80,2</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79,8</w:t>
            </w:r>
          </w:p>
        </w:tc>
        <w:tc>
          <w:tcPr>
            <w:tcW w:w="648"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82,9</w:t>
            </w:r>
          </w:p>
        </w:tc>
      </w:tr>
      <w:tr w:rsidR="00A92F1F" w:rsidRPr="00EF1841" w:rsidTr="00DD315E">
        <w:trPr>
          <w:trHeight w:hRule="exact" w:val="397"/>
        </w:trPr>
        <w:tc>
          <w:tcPr>
            <w:tcW w:w="2253" w:type="pct"/>
            <w:shd w:val="pct10" w:color="auto" w:fill="auto"/>
            <w:noWrap/>
            <w:vAlign w:val="center"/>
            <w:hideMark/>
          </w:tcPr>
          <w:p w:rsidR="00A92F1F" w:rsidRPr="00DE0D1D" w:rsidRDefault="00A92F1F" w:rsidP="000978D3">
            <w:pPr>
              <w:spacing w:before="60" w:after="60" w:line="240" w:lineRule="auto"/>
              <w:ind w:right="113"/>
            </w:pPr>
            <w:r w:rsidRPr="00DE0D1D">
              <w:t>Innovationstätigkeit</w:t>
            </w:r>
          </w:p>
        </w:tc>
        <w:tc>
          <w:tcPr>
            <w:tcW w:w="804"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75,3</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86,4</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87,5</w:t>
            </w:r>
          </w:p>
        </w:tc>
        <w:tc>
          <w:tcPr>
            <w:tcW w:w="648"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79,0</w:t>
            </w:r>
          </w:p>
        </w:tc>
      </w:tr>
      <w:tr w:rsidR="00A92F1F" w:rsidRPr="00EF1841" w:rsidTr="00DD315E">
        <w:trPr>
          <w:trHeight w:hRule="exact" w:val="397"/>
        </w:trPr>
        <w:tc>
          <w:tcPr>
            <w:tcW w:w="2253" w:type="pct"/>
            <w:shd w:val="pct10" w:color="auto" w:fill="auto"/>
            <w:noWrap/>
            <w:vAlign w:val="center"/>
            <w:hideMark/>
          </w:tcPr>
          <w:p w:rsidR="00A92F1F" w:rsidRPr="00DE0D1D" w:rsidRDefault="00A92F1F" w:rsidP="000978D3">
            <w:pPr>
              <w:spacing w:before="60" w:after="60" w:line="240" w:lineRule="auto"/>
              <w:ind w:right="113"/>
            </w:pPr>
            <w:r w:rsidRPr="00DE0D1D">
              <w:t>Internationalisierungstätigkeit</w:t>
            </w:r>
          </w:p>
        </w:tc>
        <w:tc>
          <w:tcPr>
            <w:tcW w:w="804"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64,5</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84,1</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85,3</w:t>
            </w:r>
          </w:p>
        </w:tc>
        <w:tc>
          <w:tcPr>
            <w:tcW w:w="648"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76,0</w:t>
            </w:r>
          </w:p>
        </w:tc>
      </w:tr>
      <w:tr w:rsidR="00A92F1F" w:rsidRPr="00EF1841" w:rsidTr="00DD315E">
        <w:trPr>
          <w:trHeight w:hRule="exact" w:val="592"/>
        </w:trPr>
        <w:tc>
          <w:tcPr>
            <w:tcW w:w="2253" w:type="pct"/>
            <w:shd w:val="pct10" w:color="auto" w:fill="auto"/>
            <w:noWrap/>
            <w:vAlign w:val="center"/>
            <w:hideMark/>
          </w:tcPr>
          <w:p w:rsidR="00A92F1F" w:rsidRPr="00DE0D1D" w:rsidRDefault="002B54FE" w:rsidP="000978D3">
            <w:pPr>
              <w:spacing w:before="60" w:after="60" w:line="240" w:lineRule="auto"/>
              <w:ind w:right="-108"/>
            </w:pPr>
            <w:r>
              <w:t>Größere Anteile an der Wertschöpfungsk</w:t>
            </w:r>
            <w:r w:rsidR="00A92F1F" w:rsidRPr="00DE0D1D">
              <w:t xml:space="preserve">ette </w:t>
            </w:r>
            <w:r w:rsidR="00DD315E">
              <w:br/>
            </w:r>
            <w:r w:rsidR="00A92F1F" w:rsidRPr="00DE0D1D">
              <w:t>als früher</w:t>
            </w:r>
          </w:p>
        </w:tc>
        <w:tc>
          <w:tcPr>
            <w:tcW w:w="804"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38,6</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58,4</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55,8</w:t>
            </w:r>
          </w:p>
        </w:tc>
        <w:tc>
          <w:tcPr>
            <w:tcW w:w="648"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75,5</w:t>
            </w:r>
          </w:p>
        </w:tc>
      </w:tr>
      <w:tr w:rsidR="00A92F1F" w:rsidRPr="00EF1841" w:rsidTr="00DD315E">
        <w:trPr>
          <w:trHeight w:hRule="exact" w:val="397"/>
        </w:trPr>
        <w:tc>
          <w:tcPr>
            <w:tcW w:w="2253" w:type="pct"/>
            <w:shd w:val="pct10" w:color="auto" w:fill="auto"/>
            <w:noWrap/>
            <w:vAlign w:val="center"/>
            <w:hideMark/>
          </w:tcPr>
          <w:p w:rsidR="00A92F1F" w:rsidRPr="00DE0D1D" w:rsidRDefault="00A92F1F" w:rsidP="000978D3">
            <w:pPr>
              <w:spacing w:before="60" w:after="60" w:line="240" w:lineRule="auto"/>
              <w:ind w:right="113"/>
            </w:pPr>
            <w:r w:rsidRPr="00DE0D1D">
              <w:t>Mehr Systemlieferant als früher</w:t>
            </w:r>
          </w:p>
        </w:tc>
        <w:tc>
          <w:tcPr>
            <w:tcW w:w="804"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39,0</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76,1</w:t>
            </w:r>
          </w:p>
        </w:tc>
        <w:tc>
          <w:tcPr>
            <w:tcW w:w="647"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75,4</w:t>
            </w:r>
          </w:p>
        </w:tc>
        <w:tc>
          <w:tcPr>
            <w:tcW w:w="648" w:type="pct"/>
            <w:shd w:val="pct10" w:color="auto" w:fill="auto"/>
            <w:vAlign w:val="center"/>
            <w:hideMark/>
          </w:tcPr>
          <w:p w:rsidR="00A92F1F" w:rsidRPr="00DE0D1D" w:rsidRDefault="00A92F1F" w:rsidP="00DD315E">
            <w:pPr>
              <w:tabs>
                <w:tab w:val="decimal" w:pos="601"/>
              </w:tabs>
              <w:spacing w:before="60" w:after="60" w:line="240" w:lineRule="auto"/>
              <w:ind w:right="113"/>
            </w:pPr>
            <w:r w:rsidRPr="00DE0D1D">
              <w:t>80,5</w:t>
            </w:r>
          </w:p>
        </w:tc>
      </w:tr>
      <w:tr w:rsidR="00A92F1F" w:rsidRPr="00EF1841" w:rsidTr="00DD315E">
        <w:trPr>
          <w:trHeight w:hRule="exact" w:val="397"/>
        </w:trPr>
        <w:tc>
          <w:tcPr>
            <w:tcW w:w="2253" w:type="pct"/>
            <w:shd w:val="pct10" w:color="auto" w:fill="auto"/>
            <w:noWrap/>
            <w:vAlign w:val="center"/>
          </w:tcPr>
          <w:p w:rsidR="00A92F1F" w:rsidRPr="00DE0D1D" w:rsidRDefault="00A92F1F" w:rsidP="000978D3">
            <w:pPr>
              <w:spacing w:before="60" w:after="60" w:line="240" w:lineRule="auto"/>
              <w:ind w:right="-109"/>
            </w:pPr>
            <w:r w:rsidRPr="00DE0D1D">
              <w:t>Umsatzanteil mit Alleinstellungsmerkmalen</w:t>
            </w:r>
          </w:p>
        </w:tc>
        <w:tc>
          <w:tcPr>
            <w:tcW w:w="804" w:type="pct"/>
            <w:shd w:val="pct10" w:color="auto" w:fill="auto"/>
            <w:vAlign w:val="center"/>
          </w:tcPr>
          <w:p w:rsidR="00A92F1F" w:rsidRPr="00DE0D1D" w:rsidRDefault="00A92F1F" w:rsidP="00DD315E">
            <w:pPr>
              <w:tabs>
                <w:tab w:val="decimal" w:pos="601"/>
              </w:tabs>
              <w:spacing w:before="60" w:after="60" w:line="240" w:lineRule="auto"/>
              <w:ind w:right="113"/>
            </w:pPr>
            <w:r w:rsidRPr="00DE0D1D">
              <w:t>13,0</w:t>
            </w:r>
          </w:p>
        </w:tc>
        <w:tc>
          <w:tcPr>
            <w:tcW w:w="647" w:type="pct"/>
            <w:shd w:val="pct10" w:color="auto" w:fill="auto"/>
            <w:vAlign w:val="center"/>
          </w:tcPr>
          <w:p w:rsidR="00A92F1F" w:rsidRPr="00DE0D1D" w:rsidRDefault="00A92F1F" w:rsidP="00DD315E">
            <w:pPr>
              <w:tabs>
                <w:tab w:val="decimal" w:pos="601"/>
              </w:tabs>
              <w:spacing w:before="60" w:after="60" w:line="240" w:lineRule="auto"/>
              <w:ind w:right="113"/>
            </w:pPr>
            <w:r w:rsidRPr="00DE0D1D">
              <w:t>21,1</w:t>
            </w:r>
          </w:p>
        </w:tc>
        <w:tc>
          <w:tcPr>
            <w:tcW w:w="647" w:type="pct"/>
            <w:shd w:val="pct10" w:color="auto" w:fill="auto"/>
            <w:vAlign w:val="center"/>
          </w:tcPr>
          <w:p w:rsidR="00A92F1F" w:rsidRPr="00DE0D1D" w:rsidRDefault="00A92F1F" w:rsidP="00DD315E">
            <w:pPr>
              <w:tabs>
                <w:tab w:val="decimal" w:pos="601"/>
              </w:tabs>
              <w:spacing w:before="60" w:after="60" w:line="240" w:lineRule="auto"/>
              <w:ind w:right="113"/>
            </w:pPr>
            <w:r w:rsidRPr="00DE0D1D">
              <w:t>17,8</w:t>
            </w:r>
          </w:p>
        </w:tc>
        <w:tc>
          <w:tcPr>
            <w:tcW w:w="648" w:type="pct"/>
            <w:shd w:val="pct10" w:color="auto" w:fill="auto"/>
            <w:vAlign w:val="center"/>
          </w:tcPr>
          <w:p w:rsidR="00A92F1F" w:rsidRPr="00DE0D1D" w:rsidRDefault="00A92F1F" w:rsidP="00DD315E">
            <w:pPr>
              <w:tabs>
                <w:tab w:val="decimal" w:pos="601"/>
              </w:tabs>
              <w:spacing w:before="60" w:after="60" w:line="240" w:lineRule="auto"/>
              <w:ind w:right="113"/>
            </w:pPr>
            <w:r w:rsidRPr="00DE0D1D">
              <w:t>43,7</w:t>
            </w:r>
          </w:p>
        </w:tc>
      </w:tr>
      <w:tr w:rsidR="00AD131D" w:rsidRPr="00EF1841" w:rsidTr="00DD315E">
        <w:trPr>
          <w:trHeight w:hRule="exact" w:val="397"/>
        </w:trPr>
        <w:tc>
          <w:tcPr>
            <w:tcW w:w="2253" w:type="pct"/>
            <w:shd w:val="pct10" w:color="auto" w:fill="auto"/>
            <w:noWrap/>
            <w:vAlign w:val="center"/>
          </w:tcPr>
          <w:p w:rsidR="00AD131D" w:rsidRPr="00DE0D1D" w:rsidRDefault="00AD131D" w:rsidP="000978D3">
            <w:pPr>
              <w:spacing w:before="60" w:after="60" w:line="240" w:lineRule="auto"/>
              <w:ind w:right="-109"/>
            </w:pPr>
            <w:r w:rsidRPr="00DE0D1D">
              <w:t>Kundenorientierungsindex</w:t>
            </w:r>
          </w:p>
        </w:tc>
        <w:tc>
          <w:tcPr>
            <w:tcW w:w="804" w:type="pct"/>
            <w:shd w:val="pct10" w:color="auto" w:fill="auto"/>
            <w:vAlign w:val="center"/>
          </w:tcPr>
          <w:p w:rsidR="00AD131D" w:rsidRPr="00DE0D1D" w:rsidRDefault="00AD131D" w:rsidP="00DD315E">
            <w:pPr>
              <w:tabs>
                <w:tab w:val="decimal" w:pos="601"/>
              </w:tabs>
              <w:spacing w:before="60" w:after="60" w:line="240" w:lineRule="auto"/>
              <w:ind w:right="113"/>
            </w:pPr>
            <w:r w:rsidRPr="00DE0D1D">
              <w:t>46,5</w:t>
            </w:r>
          </w:p>
        </w:tc>
        <w:tc>
          <w:tcPr>
            <w:tcW w:w="647" w:type="pct"/>
            <w:shd w:val="pct10" w:color="auto" w:fill="auto"/>
            <w:vAlign w:val="center"/>
          </w:tcPr>
          <w:p w:rsidR="00AD131D" w:rsidRPr="00DE0D1D" w:rsidRDefault="00AD131D" w:rsidP="00DD315E">
            <w:pPr>
              <w:tabs>
                <w:tab w:val="decimal" w:pos="601"/>
              </w:tabs>
              <w:spacing w:before="60" w:after="60" w:line="240" w:lineRule="auto"/>
              <w:ind w:right="113"/>
            </w:pPr>
            <w:r w:rsidRPr="00DE0D1D">
              <w:t>54,9</w:t>
            </w:r>
          </w:p>
        </w:tc>
        <w:tc>
          <w:tcPr>
            <w:tcW w:w="647" w:type="pct"/>
            <w:shd w:val="pct10" w:color="auto" w:fill="auto"/>
            <w:vAlign w:val="center"/>
          </w:tcPr>
          <w:p w:rsidR="00AD131D" w:rsidRPr="00DE0D1D" w:rsidRDefault="00AD131D" w:rsidP="00DD315E">
            <w:pPr>
              <w:tabs>
                <w:tab w:val="decimal" w:pos="601"/>
              </w:tabs>
              <w:spacing w:before="60" w:after="60" w:line="240" w:lineRule="auto"/>
              <w:ind w:right="113"/>
            </w:pPr>
            <w:r w:rsidRPr="00DE0D1D">
              <w:t>53,0</w:t>
            </w:r>
          </w:p>
        </w:tc>
        <w:tc>
          <w:tcPr>
            <w:tcW w:w="648" w:type="pct"/>
            <w:shd w:val="pct10" w:color="auto" w:fill="auto"/>
            <w:vAlign w:val="center"/>
          </w:tcPr>
          <w:p w:rsidR="00AD131D" w:rsidRPr="00DE0D1D" w:rsidRDefault="00AD131D" w:rsidP="00DD315E">
            <w:pPr>
              <w:tabs>
                <w:tab w:val="decimal" w:pos="601"/>
              </w:tabs>
              <w:spacing w:before="60" w:after="60" w:line="240" w:lineRule="auto"/>
              <w:ind w:right="113"/>
            </w:pPr>
            <w:r w:rsidRPr="00DE0D1D">
              <w:t>67,4</w:t>
            </w:r>
          </w:p>
        </w:tc>
      </w:tr>
    </w:tbl>
    <w:p w:rsidR="004933EE" w:rsidRPr="00397675" w:rsidRDefault="00086E96" w:rsidP="004933EE">
      <w:pPr>
        <w:ind w:left="357" w:hanging="357"/>
        <w:jc w:val="both"/>
        <w:rPr>
          <w:rFonts w:ascii="Times New Roman" w:hAnsi="Times New Roman"/>
          <w:sz w:val="24"/>
          <w:szCs w:val="24"/>
        </w:rPr>
      </w:pPr>
      <w:r>
        <w:rPr>
          <w:rFonts w:ascii="Times New Roman" w:hAnsi="Times New Roman"/>
          <w:noProof/>
          <w:sz w:val="24"/>
          <w:szCs w:val="24"/>
        </w:rPr>
        <w:pict>
          <v:shape id="_x0000_s1031" type="#_x0000_t75" style="position:absolute;left:0;text-align:left;margin-left:369.4pt;margin-top:50.95pt;width:65.4pt;height:18.6pt;z-index:251703296;visibility:visible;mso-wrap-edited:f;mso-position-horizontal-relative:text;mso-position-vertical-relative:text" o:allowincell="f" fillcolor="window">
            <v:imagedata r:id="rId9" o:title="" gain="69719f"/>
            <w10:wrap type="topAndBottom"/>
          </v:shape>
          <o:OLEObject Type="Embed" ProgID="Word.Picture.8" ShapeID="_x0000_s1031" DrawAspect="Content" ObjectID="_1397992693" r:id="rId21"/>
        </w:pict>
      </w:r>
      <w:r w:rsidR="004933EE" w:rsidRPr="00397675">
        <w:rPr>
          <w:noProof/>
          <w:sz w:val="24"/>
          <w:szCs w:val="24"/>
        </w:rPr>
        <mc:AlternateContent>
          <mc:Choice Requires="wps">
            <w:drawing>
              <wp:anchor distT="0" distB="0" distL="114300" distR="114300" simplePos="0" relativeHeight="251684864" behindDoc="0" locked="0" layoutInCell="1" allowOverlap="1" wp14:anchorId="6AB91A75" wp14:editId="5A38E713">
                <wp:simplePos x="0" y="0"/>
                <wp:positionH relativeFrom="column">
                  <wp:posOffset>-2540</wp:posOffset>
                </wp:positionH>
                <wp:positionV relativeFrom="paragraph">
                  <wp:posOffset>57785</wp:posOffset>
                </wp:positionV>
                <wp:extent cx="5686425" cy="1828800"/>
                <wp:effectExtent l="0" t="0" r="0" b="1270"/>
                <wp:wrapSquare wrapText="bothSides"/>
                <wp:docPr id="16" name="Textfeld 16"/>
                <wp:cNvGraphicFramePr/>
                <a:graphic xmlns:a="http://schemas.openxmlformats.org/drawingml/2006/main">
                  <a:graphicData uri="http://schemas.microsoft.com/office/word/2010/wordprocessingShape">
                    <wps:wsp>
                      <wps:cNvSpPr txBox="1"/>
                      <wps:spPr>
                        <a:xfrm>
                          <a:off x="0" y="0"/>
                          <a:ext cx="5686425" cy="1828800"/>
                        </a:xfrm>
                        <a:prstGeom prst="rect">
                          <a:avLst/>
                        </a:prstGeom>
                        <a:noFill/>
                        <a:ln w="6350">
                          <a:noFill/>
                        </a:ln>
                        <a:effectLst/>
                      </wps:spPr>
                      <wps:txbx>
                        <w:txbxContent>
                          <w:p w:rsidR="00B35429" w:rsidRPr="00C07E81" w:rsidRDefault="00B35429" w:rsidP="00D14C0C">
                            <w:pPr>
                              <w:ind w:right="113"/>
                              <w:rPr>
                                <w:rFonts w:ascii="Times New Roman" w:hAnsi="Times New Roman"/>
                                <w:sz w:val="16"/>
                                <w:szCs w:val="16"/>
                              </w:rPr>
                            </w:pPr>
                            <w:r w:rsidRPr="00C07E81">
                              <w:rPr>
                                <w:rFonts w:ascii="Times New Roman" w:hAnsi="Times New Roman"/>
                                <w:sz w:val="16"/>
                                <w:szCs w:val="16"/>
                              </w:rPr>
                              <w:t>Umsatzgewic</w:t>
                            </w:r>
                            <w:r>
                              <w:rPr>
                                <w:rFonts w:ascii="Times New Roman" w:hAnsi="Times New Roman"/>
                                <w:sz w:val="16"/>
                                <w:szCs w:val="16"/>
                              </w:rPr>
                              <w:t xml:space="preserve">htete hochgerechnete Ergebnisse. </w:t>
                            </w:r>
                            <w:r w:rsidRPr="00C07E81">
                              <w:rPr>
                                <w:rFonts w:ascii="Times New Roman" w:hAnsi="Times New Roman"/>
                                <w:sz w:val="16"/>
                                <w:szCs w:val="16"/>
                              </w:rPr>
                              <w:t>Das Gesamtergebnis für hybride Unternehmen ergibt sich aus dem Mittelwert a</w:t>
                            </w:r>
                            <w:r>
                              <w:rPr>
                                <w:rFonts w:ascii="Times New Roman" w:hAnsi="Times New Roman"/>
                                <w:sz w:val="16"/>
                                <w:szCs w:val="16"/>
                              </w:rPr>
                              <w:t>ller hybriden Unternehmen. Die Standard-Hybrid-</w:t>
                            </w:r>
                            <w:r w:rsidRPr="00C07E81">
                              <w:rPr>
                                <w:rFonts w:ascii="Times New Roman" w:hAnsi="Times New Roman"/>
                                <w:sz w:val="16"/>
                                <w:szCs w:val="16"/>
                              </w:rPr>
                              <w:t>Unternehmen dominieren aufgrund ihrer Häufigkeit diesen Mittelwert.</w:t>
                            </w:r>
                          </w:p>
                          <w:p w:rsidR="00B35429" w:rsidRPr="00C07E81" w:rsidRDefault="00B35429" w:rsidP="00D14C0C">
                            <w:pPr>
                              <w:ind w:right="113"/>
                              <w:rPr>
                                <w:rFonts w:ascii="Times New Roman" w:hAnsi="Times New Roman"/>
                                <w:sz w:val="16"/>
                                <w:szCs w:val="16"/>
                              </w:rPr>
                            </w:pPr>
                            <w:r w:rsidRPr="00EC49F2">
                              <w:rPr>
                                <w:rFonts w:ascii="Times New Roman" w:hAnsi="Times New Roman"/>
                                <w:color w:val="000000"/>
                                <w:sz w:val="16"/>
                                <w:szCs w:val="16"/>
                              </w:rPr>
                              <w:t>Kundenorientierungsindex</w:t>
                            </w:r>
                            <w:r w:rsidRPr="00C07E81">
                              <w:rPr>
                                <w:rFonts w:ascii="Times New Roman" w:hAnsi="Times New Roman"/>
                                <w:color w:val="000000"/>
                                <w:sz w:val="16"/>
                                <w:szCs w:val="16"/>
                              </w:rPr>
                              <w:t>: Der maximale Punktwert von 100 wird erreicht, wenn alle Unternehmen angeben, dass „Kunden eine wichtige Innovationsquelle sind“ (trifft zu auf 4er-Skala) und die Entwicklung produktbegleitender Dienstleistungen in der Vorphase und Nutzungsphase immer in enger Zusammenarbeit mit den Kunden erfolgt</w:t>
                            </w:r>
                            <w:r>
                              <w:rPr>
                                <w:rFonts w:ascii="Times New Roman" w:hAnsi="Times New Roman"/>
                                <w:color w:val="000000"/>
                                <w:sz w:val="16"/>
                                <w:szCs w:val="16"/>
                              </w:rPr>
                              <w:t>.</w:t>
                            </w:r>
                          </w:p>
                          <w:p w:rsidR="00B35429" w:rsidRPr="00C07E81" w:rsidRDefault="00B35429" w:rsidP="00D14C0C">
                            <w:pPr>
                              <w:jc w:val="both"/>
                              <w:rPr>
                                <w:rFonts w:ascii="Times New Roman" w:hAnsi="Times New Roman"/>
                                <w:sz w:val="16"/>
                                <w:szCs w:val="16"/>
                              </w:rPr>
                            </w:pPr>
                            <w:r w:rsidRPr="00C07E81">
                              <w:rPr>
                                <w:rFonts w:ascii="Times New Roman" w:hAnsi="Times New Roman"/>
                                <w:sz w:val="16"/>
                                <w:szCs w:val="16"/>
                              </w:rPr>
                              <w:t>Quelle: IW-Zukunftspanel,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6" o:spid="_x0000_s1032" type="#_x0000_t202" style="position:absolute;left:0;text-align:left;margin-left:-.2pt;margin-top:4.55pt;width:447.75pt;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" filled="f" stroked="f" strokeweight=".5pt">
                <v:textbox style="mso-fit-shape-to-text:t">
                  <w:txbxContent>
                    <w:p w:rsidR="00B35429" w:rsidRPr="00C07E81" w:rsidRDefault="00B35429" w:rsidP="00D14C0C">
                      <w:pPr>
                        <w:ind w:right="113"/>
                        <w:rPr>
                          <w:rFonts w:ascii="Times New Roman" w:hAnsi="Times New Roman"/>
                          <w:sz w:val="16"/>
                          <w:szCs w:val="16"/>
                        </w:rPr>
                      </w:pPr>
                      <w:r w:rsidRPr="00C07E81">
                        <w:rPr>
                          <w:rFonts w:ascii="Times New Roman" w:hAnsi="Times New Roman"/>
                          <w:sz w:val="16"/>
                          <w:szCs w:val="16"/>
                        </w:rPr>
                        <w:t>Umsatzgewic</w:t>
                      </w:r>
                      <w:r>
                        <w:rPr>
                          <w:rFonts w:ascii="Times New Roman" w:hAnsi="Times New Roman"/>
                          <w:sz w:val="16"/>
                          <w:szCs w:val="16"/>
                        </w:rPr>
                        <w:t xml:space="preserve">htete hochgerechnete Ergebnisse. </w:t>
                      </w:r>
                      <w:r w:rsidRPr="00C07E81">
                        <w:rPr>
                          <w:rFonts w:ascii="Times New Roman" w:hAnsi="Times New Roman"/>
                          <w:sz w:val="16"/>
                          <w:szCs w:val="16"/>
                        </w:rPr>
                        <w:t>Das Gesamtergebnis für hybride Unternehmen ergibt sich aus dem Mittelwert a</w:t>
                      </w:r>
                      <w:r>
                        <w:rPr>
                          <w:rFonts w:ascii="Times New Roman" w:hAnsi="Times New Roman"/>
                          <w:sz w:val="16"/>
                          <w:szCs w:val="16"/>
                        </w:rPr>
                        <w:t>ller hybriden Unternehmen. Die Standard-Hybrid-</w:t>
                      </w:r>
                      <w:r w:rsidRPr="00C07E81">
                        <w:rPr>
                          <w:rFonts w:ascii="Times New Roman" w:hAnsi="Times New Roman"/>
                          <w:sz w:val="16"/>
                          <w:szCs w:val="16"/>
                        </w:rPr>
                        <w:t>Unternehmen dominieren aufgrund ihrer Häufigkeit diesen Mittelwert.</w:t>
                      </w:r>
                    </w:p>
                    <w:p w:rsidR="00B35429" w:rsidRPr="00C07E81" w:rsidRDefault="00B35429" w:rsidP="00D14C0C">
                      <w:pPr>
                        <w:ind w:right="113"/>
                        <w:rPr>
                          <w:rFonts w:ascii="Times New Roman" w:hAnsi="Times New Roman"/>
                          <w:sz w:val="16"/>
                          <w:szCs w:val="16"/>
                        </w:rPr>
                      </w:pPr>
                      <w:r w:rsidRPr="00EC49F2">
                        <w:rPr>
                          <w:rFonts w:ascii="Times New Roman" w:hAnsi="Times New Roman"/>
                          <w:color w:val="000000"/>
                          <w:sz w:val="16"/>
                          <w:szCs w:val="16"/>
                        </w:rPr>
                        <w:t>Kundenorientierungsindex</w:t>
                      </w:r>
                      <w:r w:rsidRPr="00C07E81">
                        <w:rPr>
                          <w:rFonts w:ascii="Times New Roman" w:hAnsi="Times New Roman"/>
                          <w:color w:val="000000"/>
                          <w:sz w:val="16"/>
                          <w:szCs w:val="16"/>
                        </w:rPr>
                        <w:t>: Der maximale Punktwert von 100 wird erreicht, wenn alle Unternehmen angeben, dass „Kunden eine wichtige Innovationsquelle sind“ (trifft zu auf 4er-Skala) und die Entwicklung produktbegleitender Dienstleistungen in der Vorphase und Nutzungsphase immer in enger Zusammenarbeit mit den Kunden erfolgt</w:t>
                      </w:r>
                      <w:r>
                        <w:rPr>
                          <w:rFonts w:ascii="Times New Roman" w:hAnsi="Times New Roman"/>
                          <w:color w:val="000000"/>
                          <w:sz w:val="16"/>
                          <w:szCs w:val="16"/>
                        </w:rPr>
                        <w:t>.</w:t>
                      </w:r>
                    </w:p>
                    <w:p w:rsidR="00B35429" w:rsidRPr="00C07E81" w:rsidRDefault="00B35429" w:rsidP="00D14C0C">
                      <w:pPr>
                        <w:jc w:val="both"/>
                        <w:rPr>
                          <w:rFonts w:ascii="Times New Roman" w:hAnsi="Times New Roman"/>
                          <w:sz w:val="16"/>
                          <w:szCs w:val="16"/>
                        </w:rPr>
                      </w:pPr>
                      <w:r w:rsidRPr="00C07E81">
                        <w:rPr>
                          <w:rFonts w:ascii="Times New Roman" w:hAnsi="Times New Roman"/>
                          <w:sz w:val="16"/>
                          <w:szCs w:val="16"/>
                        </w:rPr>
                        <w:t>Quelle: IW-Zukunftspanel, 2011</w:t>
                      </w:r>
                    </w:p>
                  </w:txbxContent>
                </v:textbox>
                <w10:wrap type="square"/>
              </v:shape>
            </w:pict>
          </mc:Fallback>
        </mc:AlternateContent>
      </w:r>
    </w:p>
    <w:p w:rsidR="00E3413E" w:rsidRDefault="00E3413E" w:rsidP="00E3413E">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Über die Hälfte der hybriden Unternehmen forscht kontinuierlich oder zumindest gel</w:t>
      </w:r>
      <w:r w:rsidRPr="00EF1841">
        <w:rPr>
          <w:rFonts w:ascii="Times New Roman" w:hAnsi="Times New Roman"/>
          <w:sz w:val="24"/>
        </w:rPr>
        <w:t>e</w:t>
      </w:r>
      <w:r>
        <w:rPr>
          <w:rFonts w:ascii="Times New Roman" w:hAnsi="Times New Roman"/>
          <w:sz w:val="24"/>
        </w:rPr>
        <w:t xml:space="preserve">gentlich; bei den nicht </w:t>
      </w:r>
      <w:r w:rsidRPr="00EF1841">
        <w:rPr>
          <w:rFonts w:ascii="Times New Roman" w:hAnsi="Times New Roman"/>
          <w:sz w:val="24"/>
        </w:rPr>
        <w:t>hybriden sind es nur 40 Prozent.</w:t>
      </w:r>
    </w:p>
    <w:p w:rsidR="00E062B2" w:rsidRPr="00EF1841" w:rsidRDefault="00E062B2" w:rsidP="00E062B2">
      <w:pPr>
        <w:spacing w:line="360" w:lineRule="exact"/>
        <w:ind w:left="357" w:hanging="357"/>
        <w:jc w:val="both"/>
        <w:rPr>
          <w:rFonts w:ascii="Times New Roman" w:hAnsi="Times New Roman"/>
          <w:sz w:val="24"/>
        </w:rPr>
      </w:pPr>
      <w:r w:rsidRPr="00EF1841">
        <w:rPr>
          <w:rFonts w:ascii="Times New Roman" w:hAnsi="Times New Roman"/>
          <w:sz w:val="24"/>
        </w:rPr>
        <w:lastRenderedPageBreak/>
        <w:t>•</w:t>
      </w:r>
      <w:r w:rsidRPr="00EF1841">
        <w:rPr>
          <w:rFonts w:ascii="Times New Roman" w:hAnsi="Times New Roman"/>
          <w:sz w:val="24"/>
        </w:rPr>
        <w:tab/>
        <w:t>86 Prozent der hybriden Unternehmen sind Innovatoren, haben also in den letzten vier Jahren neue Produkte oder Prozesse im Unternehmen eingeführt. In der Vergleich</w:t>
      </w:r>
      <w:r w:rsidRPr="00EF1841">
        <w:rPr>
          <w:rFonts w:ascii="Times New Roman" w:hAnsi="Times New Roman"/>
          <w:sz w:val="24"/>
        </w:rPr>
        <w:t>s</w:t>
      </w:r>
      <w:r w:rsidRPr="00EF1841">
        <w:rPr>
          <w:rFonts w:ascii="Times New Roman" w:hAnsi="Times New Roman"/>
          <w:sz w:val="24"/>
        </w:rPr>
        <w:t>gruppe sind es nur 75 Prozent.</w:t>
      </w:r>
    </w:p>
    <w:p w:rsidR="00E062B2" w:rsidRPr="00EF1841" w:rsidRDefault="00E062B2" w:rsidP="00E062B2">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84 Prozent der hybriden Unternehmen sind internationalisiert; bei de</w:t>
      </w:r>
      <w:r>
        <w:rPr>
          <w:rFonts w:ascii="Times New Roman" w:hAnsi="Times New Roman"/>
          <w:sz w:val="24"/>
        </w:rPr>
        <w:t xml:space="preserve">n nicht </w:t>
      </w:r>
      <w:r w:rsidRPr="00EF1841">
        <w:rPr>
          <w:rFonts w:ascii="Times New Roman" w:hAnsi="Times New Roman"/>
          <w:sz w:val="24"/>
        </w:rPr>
        <w:t xml:space="preserve">hybriden Unternehmen sind es </w:t>
      </w:r>
      <w:r w:rsidR="00501975">
        <w:rPr>
          <w:rFonts w:ascii="Times New Roman" w:hAnsi="Times New Roman"/>
          <w:sz w:val="24"/>
        </w:rPr>
        <w:t>64 Prozent</w:t>
      </w:r>
      <w:r w:rsidRPr="00EF1841">
        <w:rPr>
          <w:rFonts w:ascii="Times New Roman" w:hAnsi="Times New Roman"/>
          <w:sz w:val="24"/>
        </w:rPr>
        <w:t>.</w:t>
      </w:r>
    </w:p>
    <w:p w:rsidR="00E062B2" w:rsidRDefault="00E062B2" w:rsidP="00E062B2">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Ein sehr wichtiges Erfolgsmerkmal ist auch die Differenzierungsfähigkeit der Unte</w:t>
      </w:r>
      <w:r w:rsidRPr="00EF1841">
        <w:rPr>
          <w:rFonts w:ascii="Times New Roman" w:hAnsi="Times New Roman"/>
          <w:sz w:val="24"/>
        </w:rPr>
        <w:t>r</w:t>
      </w:r>
      <w:r w:rsidRPr="00EF1841">
        <w:rPr>
          <w:rFonts w:ascii="Times New Roman" w:hAnsi="Times New Roman"/>
          <w:sz w:val="24"/>
        </w:rPr>
        <w:t xml:space="preserve">nehmen. Das zeigt sich darin, dass die Unternehmen in den letzten Jahren ihre Anteile an der Wertschöpfungskette erhöht oder ihre Position als Systemlieferant ausgebaut haben. Hybriden Unternehmen gelingt </w:t>
      </w:r>
      <w:r>
        <w:rPr>
          <w:rFonts w:ascii="Times New Roman" w:hAnsi="Times New Roman"/>
          <w:sz w:val="24"/>
        </w:rPr>
        <w:t xml:space="preserve">dies viel stärker als den nicht </w:t>
      </w:r>
      <w:r w:rsidRPr="00EF1841">
        <w:rPr>
          <w:rFonts w:ascii="Times New Roman" w:hAnsi="Times New Roman"/>
          <w:sz w:val="24"/>
        </w:rPr>
        <w:t>hybriden</w:t>
      </w:r>
      <w:r w:rsidR="002B54FE">
        <w:rPr>
          <w:rFonts w:ascii="Times New Roman" w:hAnsi="Times New Roman"/>
          <w:sz w:val="24"/>
        </w:rPr>
        <w:t xml:space="preserve"> Unte</w:t>
      </w:r>
      <w:r w:rsidR="002B54FE">
        <w:rPr>
          <w:rFonts w:ascii="Times New Roman" w:hAnsi="Times New Roman"/>
          <w:sz w:val="24"/>
        </w:rPr>
        <w:t>r</w:t>
      </w:r>
      <w:r w:rsidR="002B54FE">
        <w:rPr>
          <w:rFonts w:ascii="Times New Roman" w:hAnsi="Times New Roman"/>
          <w:sz w:val="24"/>
        </w:rPr>
        <w:t>nehmen</w:t>
      </w:r>
      <w:r w:rsidRPr="00436BDB">
        <w:rPr>
          <w:rFonts w:ascii="Times New Roman" w:hAnsi="Times New Roman"/>
          <w:sz w:val="24"/>
        </w:rPr>
        <w:t xml:space="preserve">. Dieses Ergebnis </w:t>
      </w:r>
      <w:r>
        <w:rPr>
          <w:rFonts w:ascii="Times New Roman" w:hAnsi="Times New Roman"/>
          <w:sz w:val="24"/>
        </w:rPr>
        <w:t>untermauert</w:t>
      </w:r>
      <w:r w:rsidRPr="00436BDB">
        <w:rPr>
          <w:rFonts w:ascii="Times New Roman" w:hAnsi="Times New Roman"/>
          <w:sz w:val="24"/>
        </w:rPr>
        <w:t xml:space="preserve"> die Darstellung der hybriden Wertschöpfung in </w:t>
      </w:r>
      <w:r>
        <w:rPr>
          <w:rFonts w:ascii="Times New Roman" w:hAnsi="Times New Roman"/>
          <w:sz w:val="24"/>
        </w:rPr>
        <w:t>Übersicht</w:t>
      </w:r>
      <w:r w:rsidRPr="00436BDB">
        <w:rPr>
          <w:rFonts w:ascii="Times New Roman" w:hAnsi="Times New Roman"/>
          <w:sz w:val="24"/>
        </w:rPr>
        <w:t xml:space="preserve"> 2.</w:t>
      </w:r>
      <w:r w:rsidRPr="00EF1841">
        <w:rPr>
          <w:rFonts w:ascii="Times New Roman" w:hAnsi="Times New Roman"/>
          <w:b/>
          <w:sz w:val="24"/>
        </w:rPr>
        <w:t xml:space="preserve"> </w:t>
      </w:r>
      <w:r w:rsidR="001362DA">
        <w:rPr>
          <w:rFonts w:ascii="Times New Roman" w:hAnsi="Times New Roman"/>
          <w:sz w:val="24"/>
        </w:rPr>
        <w:t>Dort wird</w:t>
      </w:r>
      <w:r w:rsidRPr="00EF1841">
        <w:rPr>
          <w:rFonts w:ascii="Times New Roman" w:hAnsi="Times New Roman"/>
          <w:sz w:val="24"/>
        </w:rPr>
        <w:t xml:space="preserve"> skizziert, dass Unternehmen mit hybrider Wertschöpfung Nu</w:t>
      </w:r>
      <w:r w:rsidRPr="00EF1841">
        <w:rPr>
          <w:rFonts w:ascii="Times New Roman" w:hAnsi="Times New Roman"/>
          <w:sz w:val="24"/>
        </w:rPr>
        <w:t>t</w:t>
      </w:r>
      <w:r w:rsidRPr="00EF1841">
        <w:rPr>
          <w:rFonts w:ascii="Times New Roman" w:hAnsi="Times New Roman"/>
          <w:sz w:val="24"/>
        </w:rPr>
        <w:t xml:space="preserve">zenbündel verkaufen und damit als Lösungsanbieter </w:t>
      </w:r>
      <w:r>
        <w:rPr>
          <w:rFonts w:ascii="Times New Roman" w:hAnsi="Times New Roman"/>
          <w:sz w:val="24"/>
        </w:rPr>
        <w:t>oder Systemanbieter</w:t>
      </w:r>
      <w:r w:rsidRPr="00EF1841">
        <w:rPr>
          <w:rFonts w:ascii="Times New Roman" w:hAnsi="Times New Roman"/>
          <w:sz w:val="24"/>
        </w:rPr>
        <w:t xml:space="preserve"> auftreten. Zudem können sich diese Unternehmen stärker auf ihre Kernkompetenzen und </w:t>
      </w:r>
      <w:r>
        <w:rPr>
          <w:rFonts w:ascii="Times New Roman" w:hAnsi="Times New Roman"/>
          <w:sz w:val="24"/>
        </w:rPr>
        <w:t xml:space="preserve">die </w:t>
      </w:r>
      <w:r w:rsidRPr="00EF1841">
        <w:rPr>
          <w:rFonts w:ascii="Times New Roman" w:hAnsi="Times New Roman"/>
          <w:sz w:val="24"/>
        </w:rPr>
        <w:t>d</w:t>
      </w:r>
      <w:r w:rsidRPr="00EF1841">
        <w:rPr>
          <w:rFonts w:ascii="Times New Roman" w:hAnsi="Times New Roman"/>
          <w:sz w:val="24"/>
        </w:rPr>
        <w:t>i</w:t>
      </w:r>
      <w:r w:rsidRPr="00EF1841">
        <w:rPr>
          <w:rFonts w:ascii="Times New Roman" w:hAnsi="Times New Roman"/>
          <w:sz w:val="24"/>
        </w:rPr>
        <w:t>rekt damit verbundene</w:t>
      </w:r>
      <w:r w:rsidR="002B54FE">
        <w:rPr>
          <w:rFonts w:ascii="Times New Roman" w:hAnsi="Times New Roman"/>
          <w:sz w:val="24"/>
        </w:rPr>
        <w:t>n</w:t>
      </w:r>
      <w:r w:rsidRPr="00EF1841">
        <w:rPr>
          <w:rFonts w:ascii="Times New Roman" w:hAnsi="Times New Roman"/>
          <w:sz w:val="24"/>
        </w:rPr>
        <w:t xml:space="preserve"> Tätigkeiten konzentrieren, wenn sie wiederum selbst hybride Komponenten- und Input</w:t>
      </w:r>
      <w:r>
        <w:rPr>
          <w:rFonts w:ascii="Times New Roman" w:hAnsi="Times New Roman"/>
          <w:sz w:val="24"/>
        </w:rPr>
        <w:t>bündel einkaufen. Da</w:t>
      </w:r>
      <w:r w:rsidRPr="00EF1841">
        <w:rPr>
          <w:rFonts w:ascii="Times New Roman" w:hAnsi="Times New Roman"/>
          <w:sz w:val="24"/>
        </w:rPr>
        <w:t xml:space="preserve">durch </w:t>
      </w:r>
      <w:r w:rsidR="00EB4C3F">
        <w:rPr>
          <w:rFonts w:ascii="Times New Roman" w:hAnsi="Times New Roman"/>
          <w:sz w:val="24"/>
        </w:rPr>
        <w:t>ent</w:t>
      </w:r>
      <w:r>
        <w:rPr>
          <w:rFonts w:ascii="Times New Roman" w:hAnsi="Times New Roman"/>
          <w:sz w:val="24"/>
        </w:rPr>
        <w:t xml:space="preserve">fallen </w:t>
      </w:r>
      <w:r w:rsidRPr="00EF1841">
        <w:rPr>
          <w:rFonts w:ascii="Times New Roman" w:hAnsi="Times New Roman"/>
          <w:sz w:val="24"/>
        </w:rPr>
        <w:t>Organisation</w:t>
      </w:r>
      <w:r>
        <w:rPr>
          <w:rFonts w:ascii="Times New Roman" w:hAnsi="Times New Roman"/>
          <w:sz w:val="24"/>
        </w:rPr>
        <w:t>s- und Pr</w:t>
      </w:r>
      <w:r>
        <w:rPr>
          <w:rFonts w:ascii="Times New Roman" w:hAnsi="Times New Roman"/>
          <w:sz w:val="24"/>
        </w:rPr>
        <w:t>o</w:t>
      </w:r>
      <w:r>
        <w:rPr>
          <w:rFonts w:ascii="Times New Roman" w:hAnsi="Times New Roman"/>
          <w:sz w:val="24"/>
        </w:rPr>
        <w:t>zess</w:t>
      </w:r>
      <w:r w:rsidR="00EB4C3F">
        <w:rPr>
          <w:rFonts w:ascii="Times New Roman" w:hAnsi="Times New Roman"/>
          <w:sz w:val="24"/>
        </w:rPr>
        <w:t xml:space="preserve">schritte </w:t>
      </w:r>
      <w:r>
        <w:rPr>
          <w:rFonts w:ascii="Times New Roman" w:hAnsi="Times New Roman"/>
          <w:sz w:val="24"/>
        </w:rPr>
        <w:t>und</w:t>
      </w:r>
      <w:r w:rsidRPr="00EF1841">
        <w:rPr>
          <w:rFonts w:ascii="Times New Roman" w:hAnsi="Times New Roman"/>
          <w:sz w:val="24"/>
        </w:rPr>
        <w:t xml:space="preserve"> die Ef</w:t>
      </w:r>
      <w:r>
        <w:rPr>
          <w:rFonts w:ascii="Times New Roman" w:hAnsi="Times New Roman"/>
          <w:sz w:val="24"/>
        </w:rPr>
        <w:t>fizienz steigt</w:t>
      </w:r>
      <w:r w:rsidRPr="00EF1841">
        <w:rPr>
          <w:rFonts w:ascii="Times New Roman" w:hAnsi="Times New Roman"/>
          <w:sz w:val="24"/>
        </w:rPr>
        <w:t xml:space="preserve">. </w:t>
      </w:r>
    </w:p>
    <w:p w:rsidR="004933EE" w:rsidRPr="00EF1841" w:rsidRDefault="004933EE" w:rsidP="004933EE">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Die Differenzierungsfähigkeit zeigt sich auch in den Umsatzanteilen mit Produkten, die Alleinstellungsmerkmale haben. Diese sind be</w:t>
      </w:r>
      <w:r>
        <w:rPr>
          <w:rFonts w:ascii="Times New Roman" w:hAnsi="Times New Roman"/>
          <w:sz w:val="24"/>
        </w:rPr>
        <w:t xml:space="preserve">i </w:t>
      </w:r>
      <w:r w:rsidR="00501975">
        <w:rPr>
          <w:rFonts w:ascii="Times New Roman" w:hAnsi="Times New Roman"/>
          <w:sz w:val="24"/>
        </w:rPr>
        <w:t xml:space="preserve">den </w:t>
      </w:r>
      <w:r>
        <w:rPr>
          <w:rFonts w:ascii="Times New Roman" w:hAnsi="Times New Roman"/>
          <w:sz w:val="24"/>
        </w:rPr>
        <w:t>hybriden Unternehmen mit 21 Pr</w:t>
      </w:r>
      <w:r>
        <w:rPr>
          <w:rFonts w:ascii="Times New Roman" w:hAnsi="Times New Roman"/>
          <w:sz w:val="24"/>
        </w:rPr>
        <w:t>o</w:t>
      </w:r>
      <w:r>
        <w:rPr>
          <w:rFonts w:ascii="Times New Roman" w:hAnsi="Times New Roman"/>
          <w:sz w:val="24"/>
        </w:rPr>
        <w:t>zent</w:t>
      </w:r>
      <w:r w:rsidRPr="00EF1841">
        <w:rPr>
          <w:rFonts w:ascii="Times New Roman" w:hAnsi="Times New Roman"/>
          <w:sz w:val="24"/>
        </w:rPr>
        <w:t xml:space="preserve"> deutlich höher als in der Vergleichsgruppe.</w:t>
      </w:r>
    </w:p>
    <w:p w:rsidR="004933EE" w:rsidRPr="00EF1841" w:rsidRDefault="004933EE" w:rsidP="004933EE">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 xml:space="preserve">Die Ausstattung mit Erfolgsfaktoren ist bei </w:t>
      </w:r>
      <w:r w:rsidR="00501975">
        <w:rPr>
          <w:rFonts w:ascii="Times New Roman" w:hAnsi="Times New Roman"/>
          <w:sz w:val="24"/>
        </w:rPr>
        <w:t xml:space="preserve">den </w:t>
      </w:r>
      <w:r w:rsidRPr="00EF1841">
        <w:rPr>
          <w:rFonts w:ascii="Times New Roman" w:hAnsi="Times New Roman"/>
          <w:sz w:val="24"/>
        </w:rPr>
        <w:t>Hybrid-Plus-Unternehmen tendenziell besser als in der Gruppe Standard-Hybrid. Besonders groß sind die Unterschiede bei den Umsatzanteilen mit Alleinstellungsmerkmalen. Die Hybrid-Plus-Strategie (breites Tätigk</w:t>
      </w:r>
      <w:r>
        <w:rPr>
          <w:rFonts w:ascii="Times New Roman" w:hAnsi="Times New Roman"/>
          <w:sz w:val="24"/>
        </w:rPr>
        <w:t>eitsprofil plus Garantien plus Ex-ante-</w:t>
      </w:r>
      <w:r w:rsidRPr="00EF1841">
        <w:rPr>
          <w:rFonts w:ascii="Times New Roman" w:hAnsi="Times New Roman"/>
          <w:sz w:val="24"/>
        </w:rPr>
        <w:t xml:space="preserve">Vereinbarungen) eröffnet offensichtlich klare Differenzierungsmöglichkeiten </w:t>
      </w:r>
      <w:r w:rsidR="00EB4C3F">
        <w:rPr>
          <w:rFonts w:ascii="Times New Roman" w:hAnsi="Times New Roman"/>
          <w:sz w:val="24"/>
        </w:rPr>
        <w:t>gegenüber dem</w:t>
      </w:r>
      <w:r w:rsidRPr="00EF1841">
        <w:rPr>
          <w:rFonts w:ascii="Times New Roman" w:hAnsi="Times New Roman"/>
          <w:sz w:val="24"/>
        </w:rPr>
        <w:t xml:space="preserve"> Wettbewerber. Lediglich die I</w:t>
      </w:r>
      <w:r w:rsidRPr="00EF1841">
        <w:rPr>
          <w:rFonts w:ascii="Times New Roman" w:hAnsi="Times New Roman"/>
          <w:sz w:val="24"/>
        </w:rPr>
        <w:t>n</w:t>
      </w:r>
      <w:r w:rsidRPr="00EF1841">
        <w:rPr>
          <w:rFonts w:ascii="Times New Roman" w:hAnsi="Times New Roman"/>
          <w:sz w:val="24"/>
        </w:rPr>
        <w:t xml:space="preserve">novatoren- und Internationalisierungsquoten </w:t>
      </w:r>
      <w:r>
        <w:rPr>
          <w:rFonts w:ascii="Times New Roman" w:hAnsi="Times New Roman"/>
          <w:sz w:val="24"/>
        </w:rPr>
        <w:t>fallen</w:t>
      </w:r>
      <w:r w:rsidRPr="00EF1841">
        <w:rPr>
          <w:rFonts w:ascii="Times New Roman" w:hAnsi="Times New Roman"/>
          <w:sz w:val="24"/>
        </w:rPr>
        <w:t xml:space="preserve"> bei den Hybrid-Plus-Unternehmen etwas geringer </w:t>
      </w:r>
      <w:r>
        <w:rPr>
          <w:rFonts w:ascii="Times New Roman" w:hAnsi="Times New Roman"/>
          <w:sz w:val="24"/>
        </w:rPr>
        <w:t xml:space="preserve">aus </w:t>
      </w:r>
      <w:r w:rsidRPr="00EF1841">
        <w:rPr>
          <w:rFonts w:ascii="Times New Roman" w:hAnsi="Times New Roman"/>
          <w:sz w:val="24"/>
        </w:rPr>
        <w:t>als bei den Standar</w:t>
      </w:r>
      <w:r w:rsidR="00EB4C3F">
        <w:rPr>
          <w:rFonts w:ascii="Times New Roman" w:hAnsi="Times New Roman"/>
          <w:sz w:val="24"/>
        </w:rPr>
        <w:t>d-Hybrid-</w:t>
      </w:r>
      <w:r>
        <w:rPr>
          <w:rFonts w:ascii="Times New Roman" w:hAnsi="Times New Roman"/>
          <w:sz w:val="24"/>
        </w:rPr>
        <w:t>Unternehmen</w:t>
      </w:r>
      <w:r w:rsidRPr="00EF1841">
        <w:rPr>
          <w:rFonts w:ascii="Times New Roman" w:hAnsi="Times New Roman"/>
          <w:sz w:val="24"/>
        </w:rPr>
        <w:t>.</w:t>
      </w:r>
    </w:p>
    <w:p w:rsidR="004933EE" w:rsidRDefault="004933EE" w:rsidP="004933EE">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 xml:space="preserve">Wichtig ist auch, dass die Unternehmen, die mindestens drei der </w:t>
      </w:r>
      <w:r w:rsidR="006370EE">
        <w:rPr>
          <w:rFonts w:ascii="Times New Roman" w:hAnsi="Times New Roman"/>
          <w:sz w:val="24"/>
        </w:rPr>
        <w:t xml:space="preserve">sieben </w:t>
      </w:r>
      <w:r w:rsidRPr="00EF1841">
        <w:rPr>
          <w:rFonts w:ascii="Times New Roman" w:hAnsi="Times New Roman"/>
          <w:sz w:val="24"/>
        </w:rPr>
        <w:t>aufgelisteten Garantien vereinbaren, bei allen betrachteten Variablen be</w:t>
      </w:r>
      <w:r>
        <w:rPr>
          <w:rFonts w:ascii="Times New Roman" w:hAnsi="Times New Roman"/>
          <w:sz w:val="24"/>
        </w:rPr>
        <w:t xml:space="preserve">ssere Werte </w:t>
      </w:r>
      <w:r w:rsidR="006370EE">
        <w:rPr>
          <w:rFonts w:ascii="Times New Roman" w:hAnsi="Times New Roman"/>
          <w:sz w:val="24"/>
        </w:rPr>
        <w:t>aufweisen</w:t>
      </w:r>
      <w:r>
        <w:rPr>
          <w:rFonts w:ascii="Times New Roman" w:hAnsi="Times New Roman"/>
          <w:sz w:val="24"/>
        </w:rPr>
        <w:t xml:space="preserve"> als die nicht </w:t>
      </w:r>
      <w:r w:rsidRPr="00EF1841">
        <w:rPr>
          <w:rFonts w:ascii="Times New Roman" w:hAnsi="Times New Roman"/>
          <w:sz w:val="24"/>
        </w:rPr>
        <w:t xml:space="preserve">hybriden Unternehmen oder die </w:t>
      </w:r>
      <w:r w:rsidR="00501975">
        <w:rPr>
          <w:rFonts w:ascii="Times New Roman" w:hAnsi="Times New Roman"/>
          <w:sz w:val="24"/>
        </w:rPr>
        <w:t>G</w:t>
      </w:r>
      <w:r w:rsidRPr="00EF1841">
        <w:rPr>
          <w:rFonts w:ascii="Times New Roman" w:hAnsi="Times New Roman"/>
          <w:sz w:val="24"/>
        </w:rPr>
        <w:t>ruppe der Unternehmen mit weniger als drei Garantien.</w:t>
      </w:r>
    </w:p>
    <w:p w:rsidR="009A1502" w:rsidRPr="00EF1841" w:rsidRDefault="009A1502" w:rsidP="004933EE">
      <w:pPr>
        <w:spacing w:line="360" w:lineRule="exact"/>
        <w:ind w:left="357" w:hanging="357"/>
        <w:jc w:val="both"/>
        <w:rPr>
          <w:rFonts w:ascii="Times New Roman" w:hAnsi="Times New Roman"/>
          <w:sz w:val="24"/>
        </w:rPr>
      </w:pPr>
    </w:p>
    <w:p w:rsidR="004933EE" w:rsidRPr="00EF1841" w:rsidRDefault="004933EE" w:rsidP="004933EE">
      <w:pPr>
        <w:spacing w:line="360" w:lineRule="exact"/>
        <w:jc w:val="both"/>
        <w:rPr>
          <w:rFonts w:ascii="Times New Roman" w:hAnsi="Times New Roman"/>
          <w:sz w:val="24"/>
        </w:rPr>
      </w:pPr>
      <w:r w:rsidRPr="00EF1841">
        <w:rPr>
          <w:rFonts w:ascii="Times New Roman" w:hAnsi="Times New Roman"/>
          <w:sz w:val="24"/>
        </w:rPr>
        <w:t xml:space="preserve">Diese Befunde sind aus zwei Gründen </w:t>
      </w:r>
      <w:r w:rsidR="005B553A">
        <w:rPr>
          <w:rFonts w:ascii="Times New Roman" w:hAnsi="Times New Roman"/>
          <w:sz w:val="24"/>
        </w:rPr>
        <w:t>relevant</w:t>
      </w:r>
      <w:r w:rsidRPr="00EF1841">
        <w:rPr>
          <w:rFonts w:ascii="Times New Roman" w:hAnsi="Times New Roman"/>
          <w:sz w:val="24"/>
        </w:rPr>
        <w:t>: Die Verfolgung einer Hybridisierungsstr</w:t>
      </w:r>
      <w:r w:rsidRPr="00EF1841">
        <w:rPr>
          <w:rFonts w:ascii="Times New Roman" w:hAnsi="Times New Roman"/>
          <w:sz w:val="24"/>
        </w:rPr>
        <w:t>a</w:t>
      </w:r>
      <w:r w:rsidRPr="00EF1841">
        <w:rPr>
          <w:rFonts w:ascii="Times New Roman" w:hAnsi="Times New Roman"/>
          <w:sz w:val="24"/>
        </w:rPr>
        <w:t>tegie ist nur sinnvoll, wenn sie erfolgversprechend ist. Eine überdurchschnittlich gute Au</w:t>
      </w:r>
      <w:r w:rsidRPr="00EF1841">
        <w:rPr>
          <w:rFonts w:ascii="Times New Roman" w:hAnsi="Times New Roman"/>
          <w:sz w:val="24"/>
        </w:rPr>
        <w:t>s</w:t>
      </w:r>
      <w:r w:rsidRPr="00EF1841">
        <w:rPr>
          <w:rFonts w:ascii="Times New Roman" w:hAnsi="Times New Roman"/>
          <w:sz w:val="24"/>
        </w:rPr>
        <w:t>stattung mit den zentralen Erfolgsfaktoren ist dafür eine notwendige, wenn auch noch ke</w:t>
      </w:r>
      <w:r w:rsidRPr="00EF1841">
        <w:rPr>
          <w:rFonts w:ascii="Times New Roman" w:hAnsi="Times New Roman"/>
          <w:sz w:val="24"/>
        </w:rPr>
        <w:t>i</w:t>
      </w:r>
      <w:r w:rsidRPr="00EF1841">
        <w:rPr>
          <w:rFonts w:ascii="Times New Roman" w:hAnsi="Times New Roman"/>
          <w:sz w:val="24"/>
        </w:rPr>
        <w:t>ne hinreichende Bedingung.</w:t>
      </w:r>
    </w:p>
    <w:p w:rsidR="004933EE" w:rsidRDefault="004933EE" w:rsidP="004933EE">
      <w:pPr>
        <w:spacing w:line="360" w:lineRule="exact"/>
        <w:jc w:val="both"/>
        <w:rPr>
          <w:rFonts w:ascii="Times New Roman" w:hAnsi="Times New Roman"/>
          <w:sz w:val="24"/>
        </w:rPr>
      </w:pPr>
    </w:p>
    <w:p w:rsidR="00AD131D" w:rsidRPr="00EF1841" w:rsidRDefault="00AD131D" w:rsidP="00EF1841">
      <w:pPr>
        <w:spacing w:line="360" w:lineRule="exact"/>
        <w:jc w:val="both"/>
        <w:rPr>
          <w:rFonts w:ascii="Times New Roman" w:hAnsi="Times New Roman"/>
          <w:sz w:val="24"/>
        </w:rPr>
      </w:pPr>
      <w:r w:rsidRPr="00EF1841">
        <w:rPr>
          <w:rFonts w:ascii="Times New Roman" w:hAnsi="Times New Roman"/>
          <w:sz w:val="24"/>
        </w:rPr>
        <w:lastRenderedPageBreak/>
        <w:t>Ein weiteres zentrales Merkmal von hybriden Geschäftsmodellen ist deren ausgeprägte Kundenorientierung. Das Zuschneiden von passgenauen Industrie-Dienstleistungsbündeln erfordert e</w:t>
      </w:r>
      <w:r w:rsidR="00B9661F">
        <w:rPr>
          <w:rFonts w:ascii="Times New Roman" w:hAnsi="Times New Roman"/>
          <w:sz w:val="24"/>
        </w:rPr>
        <w:t>inen intensiven Kundenkontakt. N</w:t>
      </w:r>
      <w:r w:rsidRPr="00EF1841">
        <w:rPr>
          <w:rFonts w:ascii="Times New Roman" w:hAnsi="Times New Roman"/>
          <w:sz w:val="24"/>
        </w:rPr>
        <w:t>eue Erlösmodelle aufgrund von Perfo</w:t>
      </w:r>
      <w:r w:rsidRPr="00EF1841">
        <w:rPr>
          <w:rFonts w:ascii="Times New Roman" w:hAnsi="Times New Roman"/>
          <w:sz w:val="24"/>
        </w:rPr>
        <w:t>r</w:t>
      </w:r>
      <w:r w:rsidR="00EB4C3F">
        <w:rPr>
          <w:rFonts w:ascii="Times New Roman" w:hAnsi="Times New Roman"/>
          <w:sz w:val="24"/>
        </w:rPr>
        <w:t>mancegarantien und des</w:t>
      </w:r>
      <w:r w:rsidRPr="00EF1841">
        <w:rPr>
          <w:rFonts w:ascii="Times New Roman" w:hAnsi="Times New Roman"/>
          <w:sz w:val="24"/>
        </w:rPr>
        <w:t xml:space="preserve"> Verkauf</w:t>
      </w:r>
      <w:r w:rsidR="00EB4C3F">
        <w:rPr>
          <w:rFonts w:ascii="Times New Roman" w:hAnsi="Times New Roman"/>
          <w:sz w:val="24"/>
        </w:rPr>
        <w:t>s</w:t>
      </w:r>
      <w:r w:rsidRPr="00EF1841">
        <w:rPr>
          <w:rFonts w:ascii="Times New Roman" w:hAnsi="Times New Roman"/>
          <w:sz w:val="24"/>
        </w:rPr>
        <w:t xml:space="preserve"> von Nutzen statt Produkten </w:t>
      </w:r>
      <w:r w:rsidR="00B9661F">
        <w:rPr>
          <w:rFonts w:ascii="Times New Roman" w:hAnsi="Times New Roman"/>
          <w:sz w:val="24"/>
        </w:rPr>
        <w:t>schaffen</w:t>
      </w:r>
      <w:r w:rsidRPr="00EF1841">
        <w:rPr>
          <w:rFonts w:ascii="Times New Roman" w:hAnsi="Times New Roman"/>
          <w:sz w:val="24"/>
        </w:rPr>
        <w:t xml:space="preserve"> eine gänzlich neue Beziehungsqualität zwischen </w:t>
      </w:r>
      <w:r w:rsidR="00EC49F2">
        <w:rPr>
          <w:rFonts w:ascii="Times New Roman" w:hAnsi="Times New Roman"/>
          <w:sz w:val="24"/>
        </w:rPr>
        <w:t>Unternehmen</w:t>
      </w:r>
      <w:r w:rsidR="006370EE">
        <w:rPr>
          <w:rFonts w:ascii="Times New Roman" w:hAnsi="Times New Roman"/>
          <w:sz w:val="24"/>
        </w:rPr>
        <w:t xml:space="preserve"> und Kunden</w:t>
      </w:r>
      <w:r w:rsidR="00EC49F2">
        <w:rPr>
          <w:rFonts w:ascii="Times New Roman" w:hAnsi="Times New Roman"/>
          <w:sz w:val="24"/>
        </w:rPr>
        <w:t xml:space="preserve">. </w:t>
      </w:r>
      <w:r w:rsidR="00EB4C3F">
        <w:rPr>
          <w:rFonts w:ascii="Times New Roman" w:hAnsi="Times New Roman"/>
          <w:sz w:val="24"/>
        </w:rPr>
        <w:t>Deshalb</w:t>
      </w:r>
      <w:r w:rsidRPr="00EF1841">
        <w:rPr>
          <w:rFonts w:ascii="Times New Roman" w:hAnsi="Times New Roman"/>
          <w:sz w:val="24"/>
        </w:rPr>
        <w:t xml:space="preserve"> wurde für die Studie ein Kundenorientierungsindex entwickelt. D</w:t>
      </w:r>
      <w:r w:rsidR="00B9661F">
        <w:rPr>
          <w:rFonts w:ascii="Times New Roman" w:hAnsi="Times New Roman"/>
          <w:sz w:val="24"/>
        </w:rPr>
        <w:t>ies</w:t>
      </w:r>
      <w:r w:rsidRPr="00EF1841">
        <w:rPr>
          <w:rFonts w:ascii="Times New Roman" w:hAnsi="Times New Roman"/>
          <w:sz w:val="24"/>
        </w:rPr>
        <w:t xml:space="preserve">er Index </w:t>
      </w:r>
      <w:r w:rsidR="00EC49F2">
        <w:rPr>
          <w:rFonts w:ascii="Times New Roman" w:hAnsi="Times New Roman"/>
          <w:sz w:val="24"/>
        </w:rPr>
        <w:t>misst</w:t>
      </w:r>
      <w:r w:rsidRPr="00EF1841">
        <w:rPr>
          <w:rFonts w:ascii="Times New Roman" w:hAnsi="Times New Roman"/>
          <w:sz w:val="24"/>
        </w:rPr>
        <w:t xml:space="preserve">, wie intensiv </w:t>
      </w:r>
      <w:r w:rsidR="00501975">
        <w:rPr>
          <w:rFonts w:ascii="Times New Roman" w:hAnsi="Times New Roman"/>
          <w:sz w:val="24"/>
        </w:rPr>
        <w:t xml:space="preserve">die </w:t>
      </w:r>
      <w:r w:rsidRPr="00EF1841">
        <w:rPr>
          <w:rFonts w:ascii="Times New Roman" w:hAnsi="Times New Roman"/>
          <w:sz w:val="24"/>
        </w:rPr>
        <w:t xml:space="preserve">Kunden in die Innovationsprozesse der Unternehmen einbezogen sind. Berücksichtigt werden drei </w:t>
      </w:r>
      <w:r w:rsidR="001362DA">
        <w:rPr>
          <w:rFonts w:ascii="Times New Roman" w:hAnsi="Times New Roman"/>
          <w:sz w:val="24"/>
        </w:rPr>
        <w:br/>
      </w:r>
      <w:r w:rsidRPr="00EF1841">
        <w:rPr>
          <w:rFonts w:ascii="Times New Roman" w:hAnsi="Times New Roman"/>
          <w:sz w:val="24"/>
        </w:rPr>
        <w:t>Aspekte:</w:t>
      </w:r>
    </w:p>
    <w:p w:rsidR="00AD131D" w:rsidRPr="00EF1841" w:rsidRDefault="00EC49F2" w:rsidP="00DE0D1D">
      <w:pPr>
        <w:spacing w:line="360" w:lineRule="exact"/>
        <w:ind w:left="357" w:hanging="357"/>
        <w:jc w:val="both"/>
        <w:rPr>
          <w:rFonts w:ascii="Times New Roman" w:hAnsi="Times New Roman"/>
          <w:sz w:val="24"/>
        </w:rPr>
      </w:pPr>
      <w:r>
        <w:rPr>
          <w:rFonts w:ascii="Times New Roman" w:hAnsi="Times New Roman"/>
          <w:sz w:val="24"/>
        </w:rPr>
        <w:t>•</w:t>
      </w:r>
      <w:r>
        <w:rPr>
          <w:rFonts w:ascii="Times New Roman" w:hAnsi="Times New Roman"/>
          <w:sz w:val="24"/>
        </w:rPr>
        <w:tab/>
        <w:t>d</w:t>
      </w:r>
      <w:r w:rsidR="00AD131D" w:rsidRPr="00EF1841">
        <w:rPr>
          <w:rFonts w:ascii="Times New Roman" w:hAnsi="Times New Roman"/>
          <w:sz w:val="24"/>
        </w:rPr>
        <w:t>ie Bedeutung de</w:t>
      </w:r>
      <w:r>
        <w:rPr>
          <w:rFonts w:ascii="Times New Roman" w:hAnsi="Times New Roman"/>
          <w:sz w:val="24"/>
        </w:rPr>
        <w:t>r Kunden als Innovationsquelle,</w:t>
      </w:r>
    </w:p>
    <w:p w:rsidR="00AD131D" w:rsidRPr="00EF1841" w:rsidRDefault="00EC49F2" w:rsidP="00DE0D1D">
      <w:pPr>
        <w:spacing w:line="360" w:lineRule="exact"/>
        <w:ind w:left="357" w:hanging="357"/>
        <w:jc w:val="both"/>
        <w:rPr>
          <w:rFonts w:ascii="Times New Roman" w:hAnsi="Times New Roman"/>
          <w:sz w:val="24"/>
        </w:rPr>
      </w:pPr>
      <w:r>
        <w:rPr>
          <w:rFonts w:ascii="Times New Roman" w:hAnsi="Times New Roman"/>
          <w:sz w:val="24"/>
        </w:rPr>
        <w:t>•</w:t>
      </w:r>
      <w:r>
        <w:rPr>
          <w:rFonts w:ascii="Times New Roman" w:hAnsi="Times New Roman"/>
          <w:sz w:val="24"/>
        </w:rPr>
        <w:tab/>
        <w:t>d</w:t>
      </w:r>
      <w:r w:rsidR="00AD131D" w:rsidRPr="00EF1841">
        <w:rPr>
          <w:rFonts w:ascii="Times New Roman" w:hAnsi="Times New Roman"/>
          <w:sz w:val="24"/>
        </w:rPr>
        <w:t>ie Einbeziehung von Kunden in die Entwicklung produktbegleitender Dienstleistu</w:t>
      </w:r>
      <w:r w:rsidR="00AD131D" w:rsidRPr="00EF1841">
        <w:rPr>
          <w:rFonts w:ascii="Times New Roman" w:hAnsi="Times New Roman"/>
          <w:sz w:val="24"/>
        </w:rPr>
        <w:t>n</w:t>
      </w:r>
      <w:r w:rsidR="00AD131D" w:rsidRPr="00EF1841">
        <w:rPr>
          <w:rFonts w:ascii="Times New Roman" w:hAnsi="Times New Roman"/>
          <w:sz w:val="24"/>
        </w:rPr>
        <w:t>gen von Anfang an in der Vor</w:t>
      </w:r>
      <w:r>
        <w:rPr>
          <w:rFonts w:ascii="Times New Roman" w:hAnsi="Times New Roman"/>
          <w:sz w:val="24"/>
        </w:rPr>
        <w:t xml:space="preserve">phase </w:t>
      </w:r>
      <w:r w:rsidR="00EB4C3F">
        <w:rPr>
          <w:rFonts w:ascii="Times New Roman" w:hAnsi="Times New Roman"/>
          <w:sz w:val="24"/>
        </w:rPr>
        <w:t>und in der Nutzungsphase sowie</w:t>
      </w:r>
    </w:p>
    <w:p w:rsidR="00AD131D" w:rsidRPr="00EF1841" w:rsidRDefault="00EC49F2" w:rsidP="00DE0D1D">
      <w:pPr>
        <w:spacing w:line="360" w:lineRule="exact"/>
        <w:ind w:left="357" w:hanging="357"/>
        <w:jc w:val="both"/>
        <w:rPr>
          <w:rFonts w:ascii="Times New Roman" w:hAnsi="Times New Roman"/>
          <w:sz w:val="24"/>
        </w:rPr>
      </w:pPr>
      <w:r>
        <w:rPr>
          <w:rFonts w:ascii="Times New Roman" w:hAnsi="Times New Roman"/>
          <w:sz w:val="24"/>
        </w:rPr>
        <w:t>•</w:t>
      </w:r>
      <w:r>
        <w:rPr>
          <w:rFonts w:ascii="Times New Roman" w:hAnsi="Times New Roman"/>
          <w:sz w:val="24"/>
        </w:rPr>
        <w:tab/>
        <w:t>d</w:t>
      </w:r>
      <w:r w:rsidR="00AD131D" w:rsidRPr="00EF1841">
        <w:rPr>
          <w:rFonts w:ascii="Times New Roman" w:hAnsi="Times New Roman"/>
          <w:sz w:val="24"/>
        </w:rPr>
        <w:t>ie Einbeziehung von Kunden in die Entwicklung produktbegleitender Dienstleistu</w:t>
      </w:r>
      <w:r w:rsidR="00AD131D" w:rsidRPr="00EF1841">
        <w:rPr>
          <w:rFonts w:ascii="Times New Roman" w:hAnsi="Times New Roman"/>
          <w:sz w:val="24"/>
        </w:rPr>
        <w:t>n</w:t>
      </w:r>
      <w:r w:rsidR="00AD131D" w:rsidRPr="00EF1841">
        <w:rPr>
          <w:rFonts w:ascii="Times New Roman" w:hAnsi="Times New Roman"/>
          <w:sz w:val="24"/>
        </w:rPr>
        <w:t xml:space="preserve">gen nach der Erstentwicklung in der Vorphase </w:t>
      </w:r>
      <w:r>
        <w:rPr>
          <w:rFonts w:ascii="Times New Roman" w:hAnsi="Times New Roman"/>
          <w:sz w:val="24"/>
        </w:rPr>
        <w:t>und</w:t>
      </w:r>
      <w:r w:rsidR="00B9661F">
        <w:rPr>
          <w:rFonts w:ascii="Times New Roman" w:hAnsi="Times New Roman"/>
          <w:sz w:val="24"/>
        </w:rPr>
        <w:t xml:space="preserve"> </w:t>
      </w:r>
      <w:r w:rsidR="00AD131D" w:rsidRPr="00EF1841">
        <w:rPr>
          <w:rFonts w:ascii="Times New Roman" w:hAnsi="Times New Roman"/>
          <w:sz w:val="24"/>
        </w:rPr>
        <w:t>in der Nutzungsphase</w:t>
      </w:r>
      <w:r w:rsidR="00B9661F">
        <w:rPr>
          <w:rFonts w:ascii="Times New Roman" w:hAnsi="Times New Roman"/>
          <w:sz w:val="24"/>
        </w:rPr>
        <w:t>.</w:t>
      </w:r>
    </w:p>
    <w:p w:rsidR="00AD131D" w:rsidRPr="00EF1841" w:rsidRDefault="00AD131D" w:rsidP="00EF1841">
      <w:pPr>
        <w:spacing w:line="360" w:lineRule="exact"/>
        <w:jc w:val="both"/>
        <w:rPr>
          <w:rFonts w:ascii="Times New Roman" w:hAnsi="Times New Roman"/>
          <w:sz w:val="24"/>
        </w:rPr>
      </w:pPr>
    </w:p>
    <w:p w:rsidR="00AD131D" w:rsidRDefault="00AD131D" w:rsidP="00EF1841">
      <w:pPr>
        <w:spacing w:line="360" w:lineRule="exact"/>
        <w:jc w:val="both"/>
        <w:rPr>
          <w:rFonts w:ascii="Times New Roman" w:hAnsi="Times New Roman"/>
          <w:sz w:val="24"/>
        </w:rPr>
      </w:pPr>
      <w:r w:rsidRPr="00EF1841">
        <w:rPr>
          <w:rFonts w:ascii="Times New Roman" w:hAnsi="Times New Roman"/>
          <w:sz w:val="24"/>
        </w:rPr>
        <w:t>Wenn alle Unternehmen eines Typs alle Punkte erreichen, beträgt der Index 100. Wenn a</w:t>
      </w:r>
      <w:r w:rsidRPr="00EF1841">
        <w:rPr>
          <w:rFonts w:ascii="Times New Roman" w:hAnsi="Times New Roman"/>
          <w:sz w:val="24"/>
        </w:rPr>
        <w:t>l</w:t>
      </w:r>
      <w:r w:rsidRPr="00EF1841">
        <w:rPr>
          <w:rFonts w:ascii="Times New Roman" w:hAnsi="Times New Roman"/>
          <w:sz w:val="24"/>
        </w:rPr>
        <w:t>le Unternehmen einer Gruppe keinen Punkt erreichen, ergeben sich null Indexpunkte. Der Index misst die Intensität der Kundenorientierung in einem Unternehmen und die Durc</w:t>
      </w:r>
      <w:r w:rsidRPr="00EF1841">
        <w:rPr>
          <w:rFonts w:ascii="Times New Roman" w:hAnsi="Times New Roman"/>
          <w:sz w:val="24"/>
        </w:rPr>
        <w:t>h</w:t>
      </w:r>
      <w:r w:rsidRPr="00EF1841">
        <w:rPr>
          <w:rFonts w:ascii="Times New Roman" w:hAnsi="Times New Roman"/>
          <w:sz w:val="24"/>
        </w:rPr>
        <w:t>schnittsverb</w:t>
      </w:r>
      <w:r w:rsidR="008E1CB9">
        <w:rPr>
          <w:rFonts w:ascii="Times New Roman" w:hAnsi="Times New Roman"/>
          <w:sz w:val="24"/>
        </w:rPr>
        <w:t>reitung in jeder Gruppe (z. B. nicht hybrid und h</w:t>
      </w:r>
      <w:r w:rsidRPr="00EF1841">
        <w:rPr>
          <w:rFonts w:ascii="Times New Roman" w:hAnsi="Times New Roman"/>
          <w:sz w:val="24"/>
        </w:rPr>
        <w:t>ybrid).</w:t>
      </w:r>
      <w:r w:rsidR="00EB4C3F">
        <w:rPr>
          <w:rFonts w:ascii="Times New Roman" w:hAnsi="Times New Roman"/>
          <w:sz w:val="24"/>
        </w:rPr>
        <w:t xml:space="preserve"> </w:t>
      </w:r>
      <w:r w:rsidRPr="00EF1841">
        <w:rPr>
          <w:rFonts w:ascii="Times New Roman" w:hAnsi="Times New Roman"/>
          <w:sz w:val="24"/>
        </w:rPr>
        <w:t>Als w</w:t>
      </w:r>
      <w:r w:rsidR="00B9661F">
        <w:rPr>
          <w:rFonts w:ascii="Times New Roman" w:hAnsi="Times New Roman"/>
          <w:sz w:val="24"/>
        </w:rPr>
        <w:t>esentliches Zw</w:t>
      </w:r>
      <w:r w:rsidR="00B9661F">
        <w:rPr>
          <w:rFonts w:ascii="Times New Roman" w:hAnsi="Times New Roman"/>
          <w:sz w:val="24"/>
        </w:rPr>
        <w:t>i</w:t>
      </w:r>
      <w:r w:rsidR="00B9661F">
        <w:rPr>
          <w:rFonts w:ascii="Times New Roman" w:hAnsi="Times New Roman"/>
          <w:sz w:val="24"/>
        </w:rPr>
        <w:t>schenfazit kann festge</w:t>
      </w:r>
      <w:r w:rsidRPr="00EF1841">
        <w:rPr>
          <w:rFonts w:ascii="Times New Roman" w:hAnsi="Times New Roman"/>
          <w:sz w:val="24"/>
        </w:rPr>
        <w:t>halten</w:t>
      </w:r>
      <w:r w:rsidR="00B9661F">
        <w:rPr>
          <w:rFonts w:ascii="Times New Roman" w:hAnsi="Times New Roman"/>
          <w:sz w:val="24"/>
        </w:rPr>
        <w:t xml:space="preserve"> werden</w:t>
      </w:r>
      <w:r w:rsidRPr="00EF1841">
        <w:rPr>
          <w:rFonts w:ascii="Times New Roman" w:hAnsi="Times New Roman"/>
          <w:sz w:val="24"/>
        </w:rPr>
        <w:t xml:space="preserve">, dass hybride Unternehmen </w:t>
      </w:r>
      <w:r w:rsidR="00DD315E">
        <w:rPr>
          <w:rFonts w:ascii="Times New Roman" w:hAnsi="Times New Roman"/>
          <w:sz w:val="24"/>
        </w:rPr>
        <w:t xml:space="preserve">nicht nur </w:t>
      </w:r>
      <w:r w:rsidR="006370EE">
        <w:rPr>
          <w:rFonts w:ascii="Times New Roman" w:hAnsi="Times New Roman"/>
          <w:sz w:val="24"/>
        </w:rPr>
        <w:t>mehr forschen und entwickeln als der Durchschnitt</w:t>
      </w:r>
      <w:r w:rsidR="00DD315E">
        <w:rPr>
          <w:rFonts w:ascii="Times New Roman" w:hAnsi="Times New Roman"/>
          <w:sz w:val="24"/>
        </w:rPr>
        <w:t xml:space="preserve">, sondern auch </w:t>
      </w:r>
      <w:r w:rsidRPr="00EF1841">
        <w:rPr>
          <w:rFonts w:ascii="Times New Roman" w:hAnsi="Times New Roman"/>
          <w:sz w:val="24"/>
        </w:rPr>
        <w:t xml:space="preserve">überdurchschnittlich </w:t>
      </w:r>
      <w:r w:rsidR="00A524F6">
        <w:rPr>
          <w:rFonts w:ascii="Times New Roman" w:hAnsi="Times New Roman"/>
          <w:sz w:val="24"/>
        </w:rPr>
        <w:t>kundenorientiert sind</w:t>
      </w:r>
      <w:r w:rsidRPr="00EF1841">
        <w:rPr>
          <w:rFonts w:ascii="Times New Roman" w:hAnsi="Times New Roman"/>
          <w:sz w:val="24"/>
        </w:rPr>
        <w:t>.</w:t>
      </w:r>
    </w:p>
    <w:p w:rsidR="007E60D6" w:rsidRDefault="007E60D6" w:rsidP="00EF1841">
      <w:pPr>
        <w:spacing w:line="360" w:lineRule="exact"/>
        <w:jc w:val="both"/>
        <w:rPr>
          <w:rFonts w:ascii="Times New Roman" w:hAnsi="Times New Roman"/>
          <w:sz w:val="24"/>
        </w:rPr>
      </w:pPr>
    </w:p>
    <w:p w:rsidR="006D2768" w:rsidRDefault="00DE0D1D" w:rsidP="00DE0D1D">
      <w:pPr>
        <w:jc w:val="both"/>
        <w:rPr>
          <w:rFonts w:ascii="Times New Roman" w:hAnsi="Times New Roman"/>
        </w:rPr>
      </w:pPr>
      <w:r>
        <w:rPr>
          <w:rFonts w:ascii="Times New Roman" w:hAnsi="Times New Roman"/>
        </w:rPr>
        <w:t>Tabelle 2</w:t>
      </w:r>
    </w:p>
    <w:p w:rsidR="00DE0D1D" w:rsidRPr="00DE0D1D" w:rsidRDefault="00DE0D1D" w:rsidP="00DE0D1D">
      <w:pPr>
        <w:spacing w:before="120"/>
        <w:jc w:val="both"/>
        <w:rPr>
          <w:rFonts w:ascii="Times New Roman" w:hAnsi="Times New Roman"/>
          <w:b/>
          <w:sz w:val="32"/>
          <w:szCs w:val="32"/>
        </w:rPr>
      </w:pPr>
      <w:r w:rsidRPr="00DE0D1D">
        <w:rPr>
          <w:rFonts w:ascii="Times New Roman" w:hAnsi="Times New Roman"/>
          <w:b/>
          <w:sz w:val="32"/>
          <w:szCs w:val="32"/>
        </w:rPr>
        <w:t>Auslandsanteile und Erwartungen</w:t>
      </w:r>
    </w:p>
    <w:p w:rsidR="00DE0D1D" w:rsidRPr="00DE0D1D" w:rsidRDefault="00DE0D1D" w:rsidP="00DE0D1D">
      <w:pPr>
        <w:jc w:val="both"/>
        <w:rPr>
          <w:rFonts w:ascii="Times New Roman" w:hAnsi="Times New Roman"/>
          <w:sz w:val="22"/>
          <w:szCs w:val="22"/>
        </w:rPr>
      </w:pPr>
      <w:r w:rsidRPr="00DE0D1D">
        <w:rPr>
          <w:rFonts w:ascii="Times New Roman" w:hAnsi="Times New Roman"/>
          <w:sz w:val="22"/>
          <w:szCs w:val="22"/>
        </w:rPr>
        <w:t xml:space="preserve">Angaben </w:t>
      </w:r>
      <w:r w:rsidR="00EC49F2">
        <w:rPr>
          <w:rFonts w:ascii="Times New Roman" w:hAnsi="Times New Roman"/>
          <w:sz w:val="22"/>
          <w:szCs w:val="22"/>
        </w:rPr>
        <w:t xml:space="preserve">für das Jahr 2009 </w:t>
      </w:r>
      <w:r w:rsidR="00241617">
        <w:rPr>
          <w:rFonts w:ascii="Times New Roman" w:hAnsi="Times New Roman"/>
          <w:sz w:val="22"/>
          <w:szCs w:val="22"/>
        </w:rPr>
        <w:t>in Prozent</w:t>
      </w:r>
    </w:p>
    <w:p w:rsidR="006D2768" w:rsidRPr="00DE0D1D" w:rsidRDefault="006D2768" w:rsidP="00DE0D1D">
      <w:pPr>
        <w:jc w:val="both"/>
        <w:rPr>
          <w:rFonts w:ascii="Times New Roman" w:hAnsi="Times New Roman"/>
        </w:rPr>
      </w:pPr>
    </w:p>
    <w:tbl>
      <w:tblPr>
        <w:tblStyle w:val="Tabellenraster"/>
        <w:tblW w:w="4906" w:type="pct"/>
        <w:tblInd w:w="108" w:type="dxa"/>
        <w:shd w:val="pct10" w:color="auto" w:fill="auto"/>
        <w:tblLayout w:type="fixed"/>
        <w:tblLook w:val="04A0" w:firstRow="1" w:lastRow="0" w:firstColumn="1" w:lastColumn="0" w:noHBand="0" w:noVBand="1"/>
      </w:tblPr>
      <w:tblGrid>
        <w:gridCol w:w="1689"/>
        <w:gridCol w:w="1415"/>
        <w:gridCol w:w="2159"/>
        <w:gridCol w:w="1417"/>
        <w:gridCol w:w="2154"/>
      </w:tblGrid>
      <w:tr w:rsidR="005E63A7" w:rsidRPr="00EF1841" w:rsidTr="00997D8A">
        <w:trPr>
          <w:trHeight w:val="380"/>
        </w:trPr>
        <w:tc>
          <w:tcPr>
            <w:tcW w:w="956" w:type="pct"/>
            <w:tcBorders>
              <w:bottom w:val="nil"/>
            </w:tcBorders>
            <w:shd w:val="pct10" w:color="auto" w:fill="auto"/>
            <w:noWrap/>
            <w:vAlign w:val="center"/>
            <w:hideMark/>
          </w:tcPr>
          <w:p w:rsidR="00A92F1F" w:rsidRPr="00EF1841" w:rsidRDefault="00A92F1F" w:rsidP="00C07E81">
            <w:pPr>
              <w:spacing w:before="60" w:after="60" w:line="240" w:lineRule="auto"/>
              <w:ind w:right="113"/>
            </w:pPr>
          </w:p>
        </w:tc>
        <w:tc>
          <w:tcPr>
            <w:tcW w:w="2022" w:type="pct"/>
            <w:gridSpan w:val="2"/>
            <w:shd w:val="pct10" w:color="auto" w:fill="auto"/>
            <w:noWrap/>
            <w:vAlign w:val="center"/>
            <w:hideMark/>
          </w:tcPr>
          <w:p w:rsidR="00A92F1F" w:rsidRPr="00EF1841" w:rsidRDefault="008E1CB9" w:rsidP="00C07E81">
            <w:pPr>
              <w:spacing w:before="60" w:after="60" w:line="240" w:lineRule="auto"/>
              <w:ind w:right="113"/>
              <w:jc w:val="center"/>
            </w:pPr>
            <w:r>
              <w:t xml:space="preserve">Nicht </w:t>
            </w:r>
            <w:r w:rsidR="005E63A7">
              <w:t>h</w:t>
            </w:r>
            <w:r w:rsidR="00A92F1F" w:rsidRPr="00EF1841">
              <w:t>ybride Unternehmen</w:t>
            </w:r>
          </w:p>
        </w:tc>
        <w:tc>
          <w:tcPr>
            <w:tcW w:w="2022" w:type="pct"/>
            <w:gridSpan w:val="2"/>
            <w:shd w:val="pct10" w:color="auto" w:fill="auto"/>
            <w:noWrap/>
            <w:vAlign w:val="center"/>
            <w:hideMark/>
          </w:tcPr>
          <w:p w:rsidR="00A92F1F" w:rsidRPr="00EF1841" w:rsidRDefault="00A92F1F" w:rsidP="00C07E81">
            <w:pPr>
              <w:spacing w:before="60" w:after="60" w:line="240" w:lineRule="auto"/>
              <w:ind w:right="113"/>
              <w:jc w:val="center"/>
            </w:pPr>
            <w:r w:rsidRPr="00EF1841">
              <w:t>Hybride Unternehmen</w:t>
            </w:r>
          </w:p>
        </w:tc>
      </w:tr>
      <w:tr w:rsidR="005E63A7" w:rsidRPr="00EF1841" w:rsidTr="00997D8A">
        <w:trPr>
          <w:trHeight w:val="380"/>
        </w:trPr>
        <w:tc>
          <w:tcPr>
            <w:tcW w:w="956" w:type="pct"/>
            <w:tcBorders>
              <w:top w:val="nil"/>
            </w:tcBorders>
            <w:shd w:val="pct10" w:color="auto" w:fill="auto"/>
            <w:noWrap/>
            <w:vAlign w:val="center"/>
          </w:tcPr>
          <w:p w:rsidR="00A92F1F" w:rsidRPr="00EF1841" w:rsidRDefault="00A92F1F" w:rsidP="00C07E81">
            <w:pPr>
              <w:spacing w:before="60" w:after="60" w:line="240" w:lineRule="auto"/>
              <w:ind w:right="113"/>
            </w:pPr>
          </w:p>
        </w:tc>
        <w:tc>
          <w:tcPr>
            <w:tcW w:w="801" w:type="pct"/>
            <w:shd w:val="pct10" w:color="auto" w:fill="auto"/>
            <w:vAlign w:val="center"/>
          </w:tcPr>
          <w:p w:rsidR="00A92F1F" w:rsidRPr="00EF1841" w:rsidRDefault="00A92F1F" w:rsidP="00C07E81">
            <w:pPr>
              <w:spacing w:before="60" w:after="60" w:line="240" w:lineRule="auto"/>
              <w:ind w:right="113"/>
              <w:jc w:val="center"/>
            </w:pPr>
            <w:r w:rsidRPr="00EF1841">
              <w:t>Auslands-anteile</w:t>
            </w:r>
          </w:p>
        </w:tc>
        <w:tc>
          <w:tcPr>
            <w:tcW w:w="1222" w:type="pct"/>
            <w:shd w:val="pct10" w:color="auto" w:fill="auto"/>
            <w:vAlign w:val="center"/>
          </w:tcPr>
          <w:p w:rsidR="00A92F1F" w:rsidRPr="00EF1841" w:rsidRDefault="00F115F5" w:rsidP="00C07E81">
            <w:pPr>
              <w:spacing w:before="60" w:after="60" w:line="240" w:lineRule="auto"/>
              <w:ind w:right="113"/>
              <w:jc w:val="center"/>
            </w:pPr>
            <w:r w:rsidRPr="00EF1841">
              <w:t>Zukunftser</w:t>
            </w:r>
            <w:r w:rsidR="00A92F1F" w:rsidRPr="00EF1841">
              <w:t>wartung (Anteil zunehmend)</w:t>
            </w:r>
          </w:p>
        </w:tc>
        <w:tc>
          <w:tcPr>
            <w:tcW w:w="802" w:type="pct"/>
            <w:shd w:val="pct10" w:color="auto" w:fill="auto"/>
            <w:vAlign w:val="center"/>
          </w:tcPr>
          <w:p w:rsidR="00A92F1F" w:rsidRPr="00EF1841" w:rsidRDefault="00A92F1F" w:rsidP="00C07E81">
            <w:pPr>
              <w:spacing w:before="60" w:after="60" w:line="240" w:lineRule="auto"/>
              <w:ind w:right="113"/>
              <w:jc w:val="center"/>
            </w:pPr>
            <w:r w:rsidRPr="00EF1841">
              <w:t>Auslands-</w:t>
            </w:r>
            <w:r w:rsidRPr="00EF1841">
              <w:br/>
              <w:t>anteile</w:t>
            </w:r>
          </w:p>
        </w:tc>
        <w:tc>
          <w:tcPr>
            <w:tcW w:w="1219" w:type="pct"/>
            <w:shd w:val="pct10" w:color="auto" w:fill="auto"/>
            <w:vAlign w:val="center"/>
          </w:tcPr>
          <w:p w:rsidR="00A92F1F" w:rsidRPr="00EF1841" w:rsidRDefault="00F115F5" w:rsidP="00C07E81">
            <w:pPr>
              <w:spacing w:before="60" w:after="60" w:line="240" w:lineRule="auto"/>
              <w:ind w:right="113"/>
              <w:jc w:val="center"/>
            </w:pPr>
            <w:r w:rsidRPr="00EF1841">
              <w:t>Zukunftser</w:t>
            </w:r>
            <w:r w:rsidR="00A92F1F" w:rsidRPr="00EF1841">
              <w:t>wartung (Anteil zunehmend)</w:t>
            </w:r>
          </w:p>
        </w:tc>
      </w:tr>
      <w:tr w:rsidR="005E63A7" w:rsidRPr="00EF1841" w:rsidTr="00321120">
        <w:trPr>
          <w:trHeight w:val="380"/>
        </w:trPr>
        <w:tc>
          <w:tcPr>
            <w:tcW w:w="956" w:type="pct"/>
            <w:shd w:val="pct10" w:color="auto" w:fill="auto"/>
            <w:noWrap/>
            <w:vAlign w:val="center"/>
            <w:hideMark/>
          </w:tcPr>
          <w:p w:rsidR="00A92F1F" w:rsidRPr="00EF1841" w:rsidRDefault="00A92F1F" w:rsidP="00C07E81">
            <w:pPr>
              <w:spacing w:before="60" w:after="60" w:line="240" w:lineRule="auto"/>
              <w:ind w:right="113"/>
            </w:pPr>
            <w:r w:rsidRPr="00EF1841">
              <w:t>Export</w:t>
            </w:r>
          </w:p>
        </w:tc>
        <w:tc>
          <w:tcPr>
            <w:tcW w:w="801" w:type="pct"/>
            <w:shd w:val="pct10" w:color="auto" w:fill="auto"/>
            <w:vAlign w:val="center"/>
            <w:hideMark/>
          </w:tcPr>
          <w:p w:rsidR="00A92F1F" w:rsidRPr="00EF1841" w:rsidRDefault="00A92F1F" w:rsidP="005E63A7">
            <w:pPr>
              <w:tabs>
                <w:tab w:val="decimal" w:pos="613"/>
              </w:tabs>
              <w:spacing w:before="60" w:after="60" w:line="240" w:lineRule="auto"/>
            </w:pPr>
            <w:r w:rsidRPr="00EF1841">
              <w:t>22,1</w:t>
            </w:r>
          </w:p>
        </w:tc>
        <w:tc>
          <w:tcPr>
            <w:tcW w:w="1222" w:type="pct"/>
            <w:shd w:val="pct10" w:color="auto" w:fill="auto"/>
            <w:vAlign w:val="center"/>
            <w:hideMark/>
          </w:tcPr>
          <w:p w:rsidR="00A92F1F" w:rsidRPr="00EF1841" w:rsidRDefault="00A92F1F" w:rsidP="005E63A7">
            <w:pPr>
              <w:tabs>
                <w:tab w:val="decimal" w:pos="981"/>
              </w:tabs>
              <w:spacing w:before="60" w:after="60" w:line="240" w:lineRule="auto"/>
            </w:pPr>
            <w:r w:rsidRPr="00EF1841">
              <w:t>56,5</w:t>
            </w:r>
          </w:p>
        </w:tc>
        <w:tc>
          <w:tcPr>
            <w:tcW w:w="802" w:type="pct"/>
            <w:shd w:val="pct10" w:color="auto" w:fill="auto"/>
            <w:vAlign w:val="center"/>
          </w:tcPr>
          <w:p w:rsidR="00A92F1F" w:rsidRPr="00EF1841" w:rsidRDefault="00A92F1F" w:rsidP="005E63A7">
            <w:pPr>
              <w:tabs>
                <w:tab w:val="decimal" w:pos="654"/>
              </w:tabs>
              <w:spacing w:before="60" w:after="60" w:line="240" w:lineRule="auto"/>
            </w:pPr>
            <w:r w:rsidRPr="00EF1841">
              <w:t>33,9</w:t>
            </w:r>
          </w:p>
        </w:tc>
        <w:tc>
          <w:tcPr>
            <w:tcW w:w="1219" w:type="pct"/>
            <w:shd w:val="pct10" w:color="auto" w:fill="auto"/>
            <w:vAlign w:val="center"/>
            <w:hideMark/>
          </w:tcPr>
          <w:p w:rsidR="00A92F1F" w:rsidRPr="00EF1841" w:rsidRDefault="00A92F1F" w:rsidP="005E63A7">
            <w:pPr>
              <w:tabs>
                <w:tab w:val="decimal" w:pos="1009"/>
              </w:tabs>
              <w:spacing w:before="60" w:after="60" w:line="240" w:lineRule="auto"/>
            </w:pPr>
            <w:r w:rsidRPr="00EF1841">
              <w:t>67,4</w:t>
            </w:r>
          </w:p>
        </w:tc>
      </w:tr>
      <w:tr w:rsidR="005E63A7" w:rsidRPr="00EF1841" w:rsidTr="00321120">
        <w:trPr>
          <w:trHeight w:val="380"/>
        </w:trPr>
        <w:tc>
          <w:tcPr>
            <w:tcW w:w="956" w:type="pct"/>
            <w:shd w:val="pct10" w:color="auto" w:fill="auto"/>
            <w:noWrap/>
            <w:vAlign w:val="center"/>
            <w:hideMark/>
          </w:tcPr>
          <w:p w:rsidR="00A92F1F" w:rsidRPr="00EF1841" w:rsidRDefault="00A92F1F" w:rsidP="00C07E81">
            <w:pPr>
              <w:spacing w:before="60" w:after="60" w:line="240" w:lineRule="auto"/>
              <w:ind w:right="113"/>
            </w:pPr>
            <w:r w:rsidRPr="00EF1841">
              <w:t>Produktion</w:t>
            </w:r>
          </w:p>
        </w:tc>
        <w:tc>
          <w:tcPr>
            <w:tcW w:w="801" w:type="pct"/>
            <w:shd w:val="pct10" w:color="auto" w:fill="auto"/>
            <w:vAlign w:val="center"/>
            <w:hideMark/>
          </w:tcPr>
          <w:p w:rsidR="00A92F1F" w:rsidRPr="00EF1841" w:rsidRDefault="00A92F1F" w:rsidP="005E63A7">
            <w:pPr>
              <w:tabs>
                <w:tab w:val="decimal" w:pos="613"/>
              </w:tabs>
              <w:spacing w:before="60" w:after="60" w:line="240" w:lineRule="auto"/>
            </w:pPr>
            <w:r w:rsidRPr="00EF1841">
              <w:t>7,6</w:t>
            </w:r>
          </w:p>
        </w:tc>
        <w:tc>
          <w:tcPr>
            <w:tcW w:w="1222" w:type="pct"/>
            <w:shd w:val="pct10" w:color="auto" w:fill="auto"/>
            <w:vAlign w:val="center"/>
            <w:hideMark/>
          </w:tcPr>
          <w:p w:rsidR="00A92F1F" w:rsidRPr="00EF1841" w:rsidRDefault="00A92F1F" w:rsidP="005E63A7">
            <w:pPr>
              <w:tabs>
                <w:tab w:val="decimal" w:pos="981"/>
              </w:tabs>
              <w:spacing w:before="60" w:after="60" w:line="240" w:lineRule="auto"/>
            </w:pPr>
            <w:r w:rsidRPr="00EF1841">
              <w:t>28,9</w:t>
            </w:r>
          </w:p>
        </w:tc>
        <w:tc>
          <w:tcPr>
            <w:tcW w:w="802" w:type="pct"/>
            <w:shd w:val="pct10" w:color="auto" w:fill="auto"/>
            <w:vAlign w:val="center"/>
          </w:tcPr>
          <w:p w:rsidR="00A92F1F" w:rsidRPr="00EF1841" w:rsidRDefault="00A92F1F" w:rsidP="005E63A7">
            <w:pPr>
              <w:tabs>
                <w:tab w:val="decimal" w:pos="654"/>
              </w:tabs>
              <w:spacing w:before="60" w:after="60" w:line="240" w:lineRule="auto"/>
            </w:pPr>
            <w:r w:rsidRPr="00EF1841">
              <w:t>10,9</w:t>
            </w:r>
          </w:p>
        </w:tc>
        <w:tc>
          <w:tcPr>
            <w:tcW w:w="1219" w:type="pct"/>
            <w:shd w:val="pct10" w:color="auto" w:fill="auto"/>
            <w:vAlign w:val="center"/>
            <w:hideMark/>
          </w:tcPr>
          <w:p w:rsidR="00A92F1F" w:rsidRPr="00EF1841" w:rsidRDefault="00A92F1F" w:rsidP="005E63A7">
            <w:pPr>
              <w:tabs>
                <w:tab w:val="decimal" w:pos="1009"/>
              </w:tabs>
              <w:spacing w:before="60" w:after="60" w:line="240" w:lineRule="auto"/>
            </w:pPr>
            <w:r w:rsidRPr="00EF1841">
              <w:t>52,5</w:t>
            </w:r>
          </w:p>
        </w:tc>
      </w:tr>
      <w:tr w:rsidR="005E63A7" w:rsidRPr="00EF1841" w:rsidTr="00321120">
        <w:trPr>
          <w:trHeight w:val="380"/>
        </w:trPr>
        <w:tc>
          <w:tcPr>
            <w:tcW w:w="956" w:type="pct"/>
            <w:shd w:val="pct10" w:color="auto" w:fill="auto"/>
            <w:noWrap/>
            <w:vAlign w:val="center"/>
            <w:hideMark/>
          </w:tcPr>
          <w:p w:rsidR="00A92F1F" w:rsidRPr="00EF1841" w:rsidRDefault="00A92F1F" w:rsidP="00C07E81">
            <w:pPr>
              <w:spacing w:before="60" w:after="60" w:line="240" w:lineRule="auto"/>
              <w:ind w:right="113"/>
            </w:pPr>
            <w:r w:rsidRPr="00EF1841">
              <w:t>Mitarbeiter</w:t>
            </w:r>
          </w:p>
        </w:tc>
        <w:tc>
          <w:tcPr>
            <w:tcW w:w="801" w:type="pct"/>
            <w:shd w:val="pct10" w:color="auto" w:fill="auto"/>
            <w:vAlign w:val="center"/>
            <w:hideMark/>
          </w:tcPr>
          <w:p w:rsidR="00A92F1F" w:rsidRPr="00EF1841" w:rsidRDefault="00A92F1F" w:rsidP="005E63A7">
            <w:pPr>
              <w:tabs>
                <w:tab w:val="decimal" w:pos="613"/>
              </w:tabs>
              <w:spacing w:before="60" w:after="60" w:line="240" w:lineRule="auto"/>
            </w:pPr>
            <w:r w:rsidRPr="00EF1841">
              <w:t>5,7</w:t>
            </w:r>
          </w:p>
        </w:tc>
        <w:tc>
          <w:tcPr>
            <w:tcW w:w="1222" w:type="pct"/>
            <w:shd w:val="pct10" w:color="auto" w:fill="auto"/>
            <w:vAlign w:val="center"/>
            <w:hideMark/>
          </w:tcPr>
          <w:p w:rsidR="00A92F1F" w:rsidRPr="00EF1841" w:rsidRDefault="00A92F1F" w:rsidP="005E63A7">
            <w:pPr>
              <w:tabs>
                <w:tab w:val="decimal" w:pos="981"/>
              </w:tabs>
              <w:spacing w:before="60" w:after="60" w:line="240" w:lineRule="auto"/>
            </w:pPr>
            <w:r w:rsidRPr="00EF1841">
              <w:t>30,2</w:t>
            </w:r>
          </w:p>
        </w:tc>
        <w:tc>
          <w:tcPr>
            <w:tcW w:w="802" w:type="pct"/>
            <w:shd w:val="pct10" w:color="auto" w:fill="auto"/>
            <w:vAlign w:val="center"/>
          </w:tcPr>
          <w:p w:rsidR="00A92F1F" w:rsidRPr="00EF1841" w:rsidRDefault="00A92F1F" w:rsidP="005E63A7">
            <w:pPr>
              <w:tabs>
                <w:tab w:val="decimal" w:pos="654"/>
              </w:tabs>
              <w:spacing w:before="60" w:after="60" w:line="240" w:lineRule="auto"/>
            </w:pPr>
            <w:r w:rsidRPr="00EF1841">
              <w:t>11,5</w:t>
            </w:r>
          </w:p>
        </w:tc>
        <w:tc>
          <w:tcPr>
            <w:tcW w:w="1219" w:type="pct"/>
            <w:shd w:val="pct10" w:color="auto" w:fill="auto"/>
            <w:vAlign w:val="center"/>
            <w:hideMark/>
          </w:tcPr>
          <w:p w:rsidR="00A92F1F" w:rsidRPr="00EF1841" w:rsidRDefault="00A92F1F" w:rsidP="005E63A7">
            <w:pPr>
              <w:tabs>
                <w:tab w:val="decimal" w:pos="1009"/>
              </w:tabs>
              <w:spacing w:before="60" w:after="60" w:line="240" w:lineRule="auto"/>
            </w:pPr>
            <w:r w:rsidRPr="00EF1841">
              <w:t>54,7</w:t>
            </w:r>
          </w:p>
        </w:tc>
      </w:tr>
    </w:tbl>
    <w:p w:rsidR="00A92F1F" w:rsidRPr="005E63A7" w:rsidRDefault="00086E96" w:rsidP="005E63A7">
      <w:pPr>
        <w:jc w:val="both"/>
        <w:rPr>
          <w:rFonts w:ascii="Times New Roman" w:hAnsi="Times New Roman"/>
          <w:color w:val="000000" w:themeColor="text1"/>
          <w:sz w:val="16"/>
          <w:szCs w:val="16"/>
        </w:rPr>
      </w:pPr>
      <w:r>
        <w:rPr>
          <w:rFonts w:ascii="Times New Roman" w:hAnsi="Times New Roman"/>
          <w:noProof/>
          <w:sz w:val="24"/>
        </w:rPr>
        <w:pict>
          <v:shape id="_x0000_s1032" type="#_x0000_t75" style="position:absolute;left:0;text-align:left;margin-left:359.45pt;margin-top:26.45pt;width:65.4pt;height:18.6pt;z-index:251704320;visibility:visible;mso-wrap-edited:f;mso-position-horizontal-relative:text;mso-position-vertical-relative:text" o:allowincell="f" fillcolor="window">
            <v:imagedata r:id="rId9" o:title="" gain="69719f"/>
            <w10:wrap type="topAndBottom"/>
          </v:shape>
          <o:OLEObject Type="Embed" ProgID="Word.Picture.8" ShapeID="_x0000_s1032" DrawAspect="Content" ObjectID="_1397992694" r:id="rId22"/>
        </w:pict>
      </w:r>
      <w:r w:rsidR="002951A2">
        <w:rPr>
          <w:noProof/>
        </w:rPr>
        <mc:AlternateContent>
          <mc:Choice Requires="wps">
            <w:drawing>
              <wp:anchor distT="0" distB="0" distL="114300" distR="114300" simplePos="0" relativeHeight="251706368" behindDoc="0" locked="0" layoutInCell="1" allowOverlap="1" wp14:anchorId="50E26B72" wp14:editId="1940CDCE">
                <wp:simplePos x="0" y="0"/>
                <wp:positionH relativeFrom="column">
                  <wp:posOffset>0</wp:posOffset>
                </wp:positionH>
                <wp:positionV relativeFrom="paragraph">
                  <wp:posOffset>0</wp:posOffset>
                </wp:positionV>
                <wp:extent cx="1828800" cy="1828800"/>
                <wp:effectExtent l="0" t="0" r="0" b="3810"/>
                <wp:wrapSquare wrapText="bothSides"/>
                <wp:docPr id="24" name="Textfeld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35429" w:rsidRPr="005E63A7" w:rsidRDefault="00B35429" w:rsidP="005E63A7">
                            <w:pPr>
                              <w:ind w:right="113"/>
                              <w:rPr>
                                <w:sz w:val="16"/>
                                <w:szCs w:val="16"/>
                              </w:rPr>
                            </w:pPr>
                            <w:r w:rsidRPr="00EC49F2">
                              <w:rPr>
                                <w:sz w:val="16"/>
                                <w:szCs w:val="16"/>
                              </w:rPr>
                              <w:t>Lesehilfe</w:t>
                            </w:r>
                            <w:r w:rsidRPr="005E63A7">
                              <w:rPr>
                                <w:sz w:val="16"/>
                                <w:szCs w:val="16"/>
                              </w:rPr>
                              <w:t>: Der Auslandsanteil zeigt, inwieweit die Unternehmen auslandsakt</w:t>
                            </w:r>
                            <w:r>
                              <w:rPr>
                                <w:sz w:val="16"/>
                                <w:szCs w:val="16"/>
                              </w:rPr>
                              <w:t xml:space="preserve">iv sind. 22,1 Prozent der nicht </w:t>
                            </w:r>
                            <w:r w:rsidRPr="005E63A7">
                              <w:rPr>
                                <w:sz w:val="16"/>
                                <w:szCs w:val="16"/>
                              </w:rPr>
                              <w:t>hybriden Unternehmen e</w:t>
                            </w:r>
                            <w:r w:rsidRPr="005E63A7">
                              <w:rPr>
                                <w:sz w:val="16"/>
                                <w:szCs w:val="16"/>
                              </w:rPr>
                              <w:t>x</w:t>
                            </w:r>
                            <w:r w:rsidRPr="005E63A7">
                              <w:rPr>
                                <w:sz w:val="16"/>
                                <w:szCs w:val="16"/>
                              </w:rPr>
                              <w:t xml:space="preserve">portieren beispielsweise ins Ausland, 7,6 Prozent produzieren im Ausland und 5,7 Prozent beschäftigen im Ausland Mitarbeiter. </w:t>
                            </w:r>
                          </w:p>
                          <w:p w:rsidR="00B35429" w:rsidRPr="005E63A7" w:rsidRDefault="00B35429" w:rsidP="005E63A7">
                            <w:pPr>
                              <w:ind w:right="113"/>
                              <w:rPr>
                                <w:sz w:val="16"/>
                                <w:szCs w:val="16"/>
                              </w:rPr>
                            </w:pPr>
                            <w:r w:rsidRPr="005E63A7">
                              <w:rPr>
                                <w:sz w:val="16"/>
                                <w:szCs w:val="16"/>
                              </w:rPr>
                              <w:t>Zukunftserwartung: Saldo der Angaben „wird bis 2015 steigen“ und „wird fallen“</w:t>
                            </w:r>
                            <w:r>
                              <w:rPr>
                                <w:sz w:val="16"/>
                                <w:szCs w:val="16"/>
                              </w:rPr>
                              <w:t>.</w:t>
                            </w:r>
                          </w:p>
                          <w:p w:rsidR="00B35429" w:rsidRDefault="00B35429" w:rsidP="005E63A7">
                            <w:pPr>
                              <w:jc w:val="both"/>
                              <w:rPr>
                                <w:sz w:val="16"/>
                                <w:szCs w:val="16"/>
                              </w:rPr>
                            </w:pPr>
                            <w:r w:rsidRPr="005E63A7">
                              <w:rPr>
                                <w:sz w:val="16"/>
                                <w:szCs w:val="16"/>
                              </w:rPr>
                              <w:t>Umsatzgewich</w:t>
                            </w:r>
                            <w:r>
                              <w:rPr>
                                <w:sz w:val="16"/>
                                <w:szCs w:val="16"/>
                              </w:rPr>
                              <w:t>tete hochgerechnete Ergebnisse.</w:t>
                            </w:r>
                          </w:p>
                          <w:p w:rsidR="00B35429" w:rsidRPr="0098076B" w:rsidRDefault="00B35429" w:rsidP="002951A2">
                            <w:pPr>
                              <w:jc w:val="both"/>
                              <w:rPr>
                                <w:color w:val="000000" w:themeColor="text1"/>
                                <w:sz w:val="16"/>
                                <w:szCs w:val="16"/>
                              </w:rPr>
                            </w:pPr>
                            <w:r>
                              <w:rPr>
                                <w:color w:val="000000" w:themeColor="text1"/>
                                <w:sz w:val="16"/>
                                <w:szCs w:val="16"/>
                              </w:rPr>
                              <w:t xml:space="preserve">Quelle: IW Zukunftspanel, </w:t>
                            </w:r>
                            <w:r w:rsidRPr="005E63A7">
                              <w:rPr>
                                <w:color w:val="000000" w:themeColor="text1"/>
                                <w:sz w:val="16"/>
                                <w:szCs w:val="16"/>
                              </w:rPr>
                              <w:t>2011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24" o:spid="_x0000_s1033" type="#_x0000_t202" style="position:absolute;left:0;text-align:left;margin-left:0;margin-top:0;width:2in;height:2in;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" filled="f" stroked="f" strokeweight=".5pt">
                <v:textbox style="mso-fit-shape-to-text:t">
                  <w:txbxContent>
                    <w:p w:rsidR="00B35429" w:rsidRPr="005E63A7" w:rsidRDefault="00B35429" w:rsidP="005E63A7">
                      <w:pPr>
                        <w:ind w:right="113"/>
                        <w:rPr>
                          <w:sz w:val="16"/>
                          <w:szCs w:val="16"/>
                        </w:rPr>
                      </w:pPr>
                      <w:r w:rsidRPr="00EC49F2">
                        <w:rPr>
                          <w:sz w:val="16"/>
                          <w:szCs w:val="16"/>
                        </w:rPr>
                        <w:t>Lesehilfe</w:t>
                      </w:r>
                      <w:r w:rsidRPr="005E63A7">
                        <w:rPr>
                          <w:sz w:val="16"/>
                          <w:szCs w:val="16"/>
                        </w:rPr>
                        <w:t>: Der Auslandsanteil zeigt, inwieweit die Unternehmen auslandsakt</w:t>
                      </w:r>
                      <w:r>
                        <w:rPr>
                          <w:sz w:val="16"/>
                          <w:szCs w:val="16"/>
                        </w:rPr>
                        <w:t xml:space="preserve">iv sind. 22,1 Prozent der nicht </w:t>
                      </w:r>
                      <w:r w:rsidRPr="005E63A7">
                        <w:rPr>
                          <w:sz w:val="16"/>
                          <w:szCs w:val="16"/>
                        </w:rPr>
                        <w:t>hybriden Unternehmen e</w:t>
                      </w:r>
                      <w:r w:rsidRPr="005E63A7">
                        <w:rPr>
                          <w:sz w:val="16"/>
                          <w:szCs w:val="16"/>
                        </w:rPr>
                        <w:t>x</w:t>
                      </w:r>
                      <w:r w:rsidRPr="005E63A7">
                        <w:rPr>
                          <w:sz w:val="16"/>
                          <w:szCs w:val="16"/>
                        </w:rPr>
                        <w:t xml:space="preserve">portieren beispielsweise ins Ausland, 7,6 Prozent produzieren im Ausland und 5,7 Prozent beschäftigen im Ausland Mitarbeiter. </w:t>
                      </w:r>
                    </w:p>
                    <w:p w:rsidR="00B35429" w:rsidRPr="005E63A7" w:rsidRDefault="00B35429" w:rsidP="005E63A7">
                      <w:pPr>
                        <w:ind w:right="113"/>
                        <w:rPr>
                          <w:sz w:val="16"/>
                          <w:szCs w:val="16"/>
                        </w:rPr>
                      </w:pPr>
                      <w:r w:rsidRPr="005E63A7">
                        <w:rPr>
                          <w:sz w:val="16"/>
                          <w:szCs w:val="16"/>
                        </w:rPr>
                        <w:t>Zukunftserwartung: Saldo der Angaben „wird bis 2015 steigen“ und „wird fallen“</w:t>
                      </w:r>
                      <w:r>
                        <w:rPr>
                          <w:sz w:val="16"/>
                          <w:szCs w:val="16"/>
                        </w:rPr>
                        <w:t>.</w:t>
                      </w:r>
                    </w:p>
                    <w:p w:rsidR="00B35429" w:rsidRDefault="00B35429" w:rsidP="005E63A7">
                      <w:pPr>
                        <w:jc w:val="both"/>
                        <w:rPr>
                          <w:sz w:val="16"/>
                          <w:szCs w:val="16"/>
                        </w:rPr>
                      </w:pPr>
                      <w:r w:rsidRPr="005E63A7">
                        <w:rPr>
                          <w:sz w:val="16"/>
                          <w:szCs w:val="16"/>
                        </w:rPr>
                        <w:t>Umsatzgewich</w:t>
                      </w:r>
                      <w:r>
                        <w:rPr>
                          <w:sz w:val="16"/>
                          <w:szCs w:val="16"/>
                        </w:rPr>
                        <w:t>tete hochgerechnete Ergebnisse.</w:t>
                      </w:r>
                    </w:p>
                    <w:p w:rsidR="00B35429" w:rsidRPr="0098076B" w:rsidRDefault="00B35429" w:rsidP="002951A2">
                      <w:pPr>
                        <w:jc w:val="both"/>
                        <w:rPr>
                          <w:color w:val="000000" w:themeColor="text1"/>
                          <w:sz w:val="16"/>
                          <w:szCs w:val="16"/>
                        </w:rPr>
                      </w:pPr>
                      <w:r>
                        <w:rPr>
                          <w:color w:val="000000" w:themeColor="text1"/>
                          <w:sz w:val="16"/>
                          <w:szCs w:val="16"/>
                        </w:rPr>
                        <w:t xml:space="preserve">Quelle: IW Zukunftspanel, </w:t>
                      </w:r>
                      <w:r w:rsidRPr="005E63A7">
                        <w:rPr>
                          <w:color w:val="000000" w:themeColor="text1"/>
                          <w:sz w:val="16"/>
                          <w:szCs w:val="16"/>
                        </w:rPr>
                        <w:t>2011</w:t>
                      </w:r>
                    </w:p>
                  </w:txbxContent>
                </v:textbox>
                <w10:wrap type="square"/>
              </v:shape>
            </w:pict>
          </mc:Fallback>
        </mc:AlternateContent>
      </w:r>
    </w:p>
    <w:p w:rsidR="00397675" w:rsidRPr="00EF1841" w:rsidRDefault="00397675" w:rsidP="00397675">
      <w:pPr>
        <w:spacing w:line="360" w:lineRule="exact"/>
        <w:jc w:val="both"/>
        <w:rPr>
          <w:rFonts w:ascii="Times New Roman" w:hAnsi="Times New Roman"/>
          <w:sz w:val="24"/>
        </w:rPr>
      </w:pPr>
      <w:r w:rsidRPr="00EF1841">
        <w:rPr>
          <w:rFonts w:ascii="Times New Roman" w:hAnsi="Times New Roman"/>
          <w:sz w:val="24"/>
        </w:rPr>
        <w:t>Der unterschiedliche Internationalisierungsgrad</w:t>
      </w:r>
      <w:r>
        <w:rPr>
          <w:rFonts w:ascii="Times New Roman" w:hAnsi="Times New Roman"/>
          <w:sz w:val="24"/>
        </w:rPr>
        <w:t xml:space="preserve"> hybrider und nicht </w:t>
      </w:r>
      <w:r w:rsidRPr="00EF1841">
        <w:rPr>
          <w:rFonts w:ascii="Times New Roman" w:hAnsi="Times New Roman"/>
          <w:sz w:val="24"/>
        </w:rPr>
        <w:t>hybrider Unternehmen zeigt sich auch in den Intensitäten des Auslandsengagements und in den Zukunftserwa</w:t>
      </w:r>
      <w:r w:rsidRPr="00EF1841">
        <w:rPr>
          <w:rFonts w:ascii="Times New Roman" w:hAnsi="Times New Roman"/>
          <w:sz w:val="24"/>
        </w:rPr>
        <w:t>r</w:t>
      </w:r>
      <w:r>
        <w:rPr>
          <w:rFonts w:ascii="Times New Roman" w:hAnsi="Times New Roman"/>
          <w:sz w:val="24"/>
        </w:rPr>
        <w:t xml:space="preserve">tungen der Auslandstätigkeit </w:t>
      </w:r>
      <w:r w:rsidRPr="00EF1841">
        <w:rPr>
          <w:rFonts w:ascii="Times New Roman" w:hAnsi="Times New Roman"/>
          <w:sz w:val="24"/>
        </w:rPr>
        <w:t>(Tabelle 2). Die Exportquoten, die Auslandsproduktionsante</w:t>
      </w:r>
      <w:r w:rsidRPr="00EF1841">
        <w:rPr>
          <w:rFonts w:ascii="Times New Roman" w:hAnsi="Times New Roman"/>
          <w:sz w:val="24"/>
        </w:rPr>
        <w:t>i</w:t>
      </w:r>
      <w:r w:rsidRPr="00EF1841">
        <w:rPr>
          <w:rFonts w:ascii="Times New Roman" w:hAnsi="Times New Roman"/>
          <w:sz w:val="24"/>
        </w:rPr>
        <w:lastRenderedPageBreak/>
        <w:t>le und die Anteile der Mitarbeiter im</w:t>
      </w:r>
      <w:r>
        <w:rPr>
          <w:rFonts w:ascii="Times New Roman" w:hAnsi="Times New Roman"/>
          <w:sz w:val="24"/>
        </w:rPr>
        <w:t xml:space="preserve"> Ausland liegen bei hybriden Unternehmen deutlich höher. D</w:t>
      </w:r>
      <w:r w:rsidRPr="00EF1841">
        <w:rPr>
          <w:rFonts w:ascii="Times New Roman" w:hAnsi="Times New Roman"/>
          <w:sz w:val="24"/>
        </w:rPr>
        <w:t xml:space="preserve">iese Ergebnisse </w:t>
      </w:r>
      <w:r>
        <w:rPr>
          <w:rFonts w:ascii="Times New Roman" w:hAnsi="Times New Roman"/>
          <w:sz w:val="24"/>
        </w:rPr>
        <w:t>sind</w:t>
      </w:r>
      <w:r w:rsidRPr="00EF1841">
        <w:rPr>
          <w:rFonts w:ascii="Times New Roman" w:hAnsi="Times New Roman"/>
          <w:sz w:val="24"/>
        </w:rPr>
        <w:t xml:space="preserve"> nicht abhängig</w:t>
      </w:r>
      <w:r>
        <w:rPr>
          <w:rFonts w:ascii="Times New Roman" w:hAnsi="Times New Roman"/>
          <w:sz w:val="24"/>
        </w:rPr>
        <w:t xml:space="preserve"> von der Unternehmensgröße</w:t>
      </w:r>
      <w:r w:rsidRPr="00EF1841">
        <w:rPr>
          <w:rFonts w:ascii="Times New Roman" w:hAnsi="Times New Roman"/>
          <w:sz w:val="24"/>
        </w:rPr>
        <w:t>. Kleine hybride Unternehmen sind ebenso wie große hybride Unternehmen auslandsaktiver als nicht hybr</w:t>
      </w:r>
      <w:r w:rsidRPr="00EF1841">
        <w:rPr>
          <w:rFonts w:ascii="Times New Roman" w:hAnsi="Times New Roman"/>
          <w:sz w:val="24"/>
        </w:rPr>
        <w:t>i</w:t>
      </w:r>
      <w:r w:rsidRPr="00EF1841">
        <w:rPr>
          <w:rFonts w:ascii="Times New Roman" w:hAnsi="Times New Roman"/>
          <w:sz w:val="24"/>
        </w:rPr>
        <w:t>de Unternehmen.</w:t>
      </w:r>
      <w:r w:rsidRPr="00962F81">
        <w:rPr>
          <w:rFonts w:ascii="Times New Roman" w:hAnsi="Times New Roman"/>
          <w:sz w:val="24"/>
        </w:rPr>
        <w:t xml:space="preserve"> </w:t>
      </w:r>
      <w:r>
        <w:rPr>
          <w:rFonts w:ascii="Times New Roman" w:hAnsi="Times New Roman"/>
          <w:sz w:val="24"/>
        </w:rPr>
        <w:t>Entscheidend</w:t>
      </w:r>
      <w:r w:rsidRPr="00EF1841">
        <w:rPr>
          <w:rFonts w:ascii="Times New Roman" w:hAnsi="Times New Roman"/>
          <w:sz w:val="24"/>
        </w:rPr>
        <w:t xml:space="preserve"> ist aber, dass die hybriden Unternehmen deutlich st</w:t>
      </w:r>
      <w:r>
        <w:rPr>
          <w:rFonts w:ascii="Times New Roman" w:hAnsi="Times New Roman"/>
          <w:sz w:val="24"/>
        </w:rPr>
        <w:t xml:space="preserve">ärker als die nicht </w:t>
      </w:r>
      <w:r w:rsidRPr="00EF1841">
        <w:rPr>
          <w:rFonts w:ascii="Times New Roman" w:hAnsi="Times New Roman"/>
          <w:sz w:val="24"/>
        </w:rPr>
        <w:t>hybriden ihre Auslandsaktivitäten erhöhen wollen. Abgetragen ist der Saldo der Antworten „wird steigen“ zu „wird fallen“. Über die Hälfte</w:t>
      </w:r>
      <w:r>
        <w:rPr>
          <w:rFonts w:ascii="Times New Roman" w:hAnsi="Times New Roman"/>
          <w:sz w:val="24"/>
        </w:rPr>
        <w:t xml:space="preserve"> der hybriden Unternehmen will</w:t>
      </w:r>
      <w:r w:rsidRPr="00EF1841">
        <w:rPr>
          <w:rFonts w:ascii="Times New Roman" w:hAnsi="Times New Roman"/>
          <w:sz w:val="24"/>
        </w:rPr>
        <w:t xml:space="preserve"> die Ausla</w:t>
      </w:r>
      <w:r>
        <w:rPr>
          <w:rFonts w:ascii="Times New Roman" w:hAnsi="Times New Roman"/>
          <w:sz w:val="24"/>
        </w:rPr>
        <w:t xml:space="preserve">ndsproduktionsanteile steigern. Bei den nicht </w:t>
      </w:r>
      <w:r w:rsidRPr="00EF1841">
        <w:rPr>
          <w:rFonts w:ascii="Times New Roman" w:hAnsi="Times New Roman"/>
          <w:sz w:val="24"/>
        </w:rPr>
        <w:t>hybriden Unternehmen liegt dieser Anteil bei 29 Prozent. Das bedeutet insgesamt, dass die Unterschiede zwische</w:t>
      </w:r>
      <w:r>
        <w:rPr>
          <w:rFonts w:ascii="Times New Roman" w:hAnsi="Times New Roman"/>
          <w:sz w:val="24"/>
        </w:rPr>
        <w:t>n di</w:t>
      </w:r>
      <w:r>
        <w:rPr>
          <w:rFonts w:ascii="Times New Roman" w:hAnsi="Times New Roman"/>
          <w:sz w:val="24"/>
        </w:rPr>
        <w:t>e</w:t>
      </w:r>
      <w:r>
        <w:rPr>
          <w:rFonts w:ascii="Times New Roman" w:hAnsi="Times New Roman"/>
          <w:sz w:val="24"/>
        </w:rPr>
        <w:t>sen Gruppen in Zukunft</w:t>
      </w:r>
      <w:r w:rsidRPr="00EF1841">
        <w:rPr>
          <w:rFonts w:ascii="Times New Roman" w:hAnsi="Times New Roman"/>
          <w:sz w:val="24"/>
        </w:rPr>
        <w:t xml:space="preserve"> noch größer werden.</w:t>
      </w:r>
    </w:p>
    <w:p w:rsidR="00397675" w:rsidRPr="00EF1841" w:rsidRDefault="00397675" w:rsidP="00397675">
      <w:pPr>
        <w:spacing w:line="360" w:lineRule="exact"/>
        <w:jc w:val="both"/>
        <w:rPr>
          <w:rFonts w:ascii="Times New Roman" w:hAnsi="Times New Roman"/>
          <w:sz w:val="24"/>
        </w:rPr>
      </w:pPr>
    </w:p>
    <w:p w:rsidR="008166C9" w:rsidRPr="005E63A7" w:rsidRDefault="008166C9" w:rsidP="00EF1841">
      <w:pPr>
        <w:spacing w:line="360" w:lineRule="exact"/>
        <w:jc w:val="both"/>
        <w:rPr>
          <w:rFonts w:ascii="Times New Roman" w:hAnsi="Times New Roman"/>
          <w:b/>
          <w:sz w:val="28"/>
          <w:szCs w:val="28"/>
        </w:rPr>
      </w:pPr>
      <w:r w:rsidRPr="005E63A7">
        <w:rPr>
          <w:rFonts w:ascii="Times New Roman" w:hAnsi="Times New Roman"/>
          <w:b/>
          <w:sz w:val="28"/>
          <w:szCs w:val="28"/>
        </w:rPr>
        <w:t>Rückwirkungen hybrider Geschäftsmodelle</w:t>
      </w:r>
    </w:p>
    <w:p w:rsidR="008166C9" w:rsidRDefault="008166C9" w:rsidP="00EF1841">
      <w:pPr>
        <w:spacing w:line="360" w:lineRule="exact"/>
        <w:jc w:val="both"/>
        <w:rPr>
          <w:rFonts w:ascii="Times New Roman" w:hAnsi="Times New Roman"/>
          <w:sz w:val="24"/>
        </w:rPr>
      </w:pPr>
      <w:r w:rsidRPr="00EF1841">
        <w:rPr>
          <w:rFonts w:ascii="Times New Roman" w:hAnsi="Times New Roman"/>
          <w:sz w:val="24"/>
        </w:rPr>
        <w:t>Hyb</w:t>
      </w:r>
      <w:r w:rsidR="005B532A">
        <w:rPr>
          <w:rFonts w:ascii="Times New Roman" w:hAnsi="Times New Roman"/>
          <w:sz w:val="24"/>
        </w:rPr>
        <w:t>ride Geschäftsmodelle sind hoch</w:t>
      </w:r>
      <w:r w:rsidRPr="00EF1841">
        <w:rPr>
          <w:rFonts w:ascii="Times New Roman" w:hAnsi="Times New Roman"/>
          <w:sz w:val="24"/>
        </w:rPr>
        <w:t xml:space="preserve">komplex, innovativ und </w:t>
      </w:r>
      <w:r w:rsidR="00B9661F">
        <w:rPr>
          <w:rFonts w:ascii="Times New Roman" w:hAnsi="Times New Roman"/>
          <w:sz w:val="24"/>
        </w:rPr>
        <w:t>sehr</w:t>
      </w:r>
      <w:r w:rsidRPr="00EF1841">
        <w:rPr>
          <w:rFonts w:ascii="Times New Roman" w:hAnsi="Times New Roman"/>
          <w:sz w:val="24"/>
        </w:rPr>
        <w:t xml:space="preserve"> kundenorientiert. Die Einführung solcher Modelle hat im Regelfall erhebliche Rückwirkungen auf das Unte</w:t>
      </w:r>
      <w:r w:rsidRPr="00EF1841">
        <w:rPr>
          <w:rFonts w:ascii="Times New Roman" w:hAnsi="Times New Roman"/>
          <w:sz w:val="24"/>
        </w:rPr>
        <w:t>r</w:t>
      </w:r>
      <w:r w:rsidRPr="00EF1841">
        <w:rPr>
          <w:rFonts w:ascii="Times New Roman" w:hAnsi="Times New Roman"/>
          <w:sz w:val="24"/>
        </w:rPr>
        <w:t>nehmen und kann nicht ohne die Überwindung von Herausforderungen gelingen. Dazu zählen die Notwendigkeit einer Neuausrichtung der Kundenbeziehungen, eine Erweiterung der Kompetenzprofile, ein höherer IT- und Kommunikationsaufwand, aber auch mögliche Kostenprobleme. Die Ergebnisse der Unternehm</w:t>
      </w:r>
      <w:r w:rsidR="00501975">
        <w:rPr>
          <w:rFonts w:ascii="Times New Roman" w:hAnsi="Times New Roman"/>
          <w:sz w:val="24"/>
        </w:rPr>
        <w:t xml:space="preserve">ensbefragung bestätigen dies </w:t>
      </w:r>
      <w:r w:rsidRPr="00EF1841">
        <w:rPr>
          <w:rFonts w:ascii="Times New Roman" w:hAnsi="Times New Roman"/>
          <w:sz w:val="24"/>
        </w:rPr>
        <w:t>(Tabelle 3):</w:t>
      </w:r>
    </w:p>
    <w:p w:rsidR="00395901" w:rsidRDefault="00395901" w:rsidP="00EF1841">
      <w:pPr>
        <w:spacing w:line="360" w:lineRule="exact"/>
        <w:jc w:val="both"/>
        <w:rPr>
          <w:rFonts w:ascii="Times New Roman" w:hAnsi="Times New Roman"/>
          <w:sz w:val="24"/>
        </w:rPr>
      </w:pPr>
    </w:p>
    <w:p w:rsidR="00321120" w:rsidRDefault="00321120" w:rsidP="00321120">
      <w:pPr>
        <w:jc w:val="both"/>
        <w:rPr>
          <w:rFonts w:ascii="Times New Roman" w:hAnsi="Times New Roman"/>
        </w:rPr>
      </w:pPr>
      <w:r>
        <w:rPr>
          <w:rFonts w:ascii="Times New Roman" w:hAnsi="Times New Roman"/>
        </w:rPr>
        <w:t>Tabelle 3</w:t>
      </w:r>
    </w:p>
    <w:p w:rsidR="00321120" w:rsidRPr="00E21DD1" w:rsidRDefault="00321120" w:rsidP="00E21DD1">
      <w:pPr>
        <w:spacing w:before="120"/>
        <w:ind w:right="-285"/>
        <w:rPr>
          <w:rFonts w:ascii="Times New Roman" w:hAnsi="Times New Roman"/>
          <w:b/>
          <w:sz w:val="32"/>
          <w:szCs w:val="32"/>
        </w:rPr>
      </w:pPr>
      <w:r w:rsidRPr="00E21DD1">
        <w:rPr>
          <w:rFonts w:ascii="Times New Roman" w:hAnsi="Times New Roman"/>
          <w:b/>
          <w:sz w:val="32"/>
          <w:szCs w:val="32"/>
        </w:rPr>
        <w:t>Rückwirkungen hybrider Geschäftsmodelle auf die Unternehmen</w:t>
      </w:r>
    </w:p>
    <w:p w:rsidR="00321120" w:rsidRDefault="00321120" w:rsidP="00321120">
      <w:pPr>
        <w:jc w:val="both"/>
        <w:rPr>
          <w:rFonts w:ascii="Times New Roman" w:hAnsi="Times New Roman"/>
        </w:rPr>
      </w:pPr>
      <w:r w:rsidRPr="00321120">
        <w:rPr>
          <w:rFonts w:ascii="Times New Roman" w:hAnsi="Times New Roman"/>
        </w:rPr>
        <w:t>Angaben in Prozent</w:t>
      </w:r>
    </w:p>
    <w:p w:rsidR="00DE4D71" w:rsidRDefault="00DE4D71" w:rsidP="00321120">
      <w:pPr>
        <w:jc w:val="both"/>
        <w:rPr>
          <w:rFonts w:ascii="Times New Roman" w:hAnsi="Times New Roman"/>
        </w:rPr>
      </w:pPr>
    </w:p>
    <w:tbl>
      <w:tblPr>
        <w:tblStyle w:val="Tabellenraster"/>
        <w:tblpPr w:leftFromText="141" w:rightFromText="141" w:bottomFromText="283" w:vertAnchor="text" w:tblpX="108" w:tblpY="1"/>
        <w:tblOverlap w:val="never"/>
        <w:tblW w:w="4960" w:type="pct"/>
        <w:shd w:val="pct10" w:color="auto" w:fill="auto"/>
        <w:tblLayout w:type="fixed"/>
        <w:tblLook w:val="04A0" w:firstRow="1" w:lastRow="0" w:firstColumn="1" w:lastColumn="0" w:noHBand="0" w:noVBand="1"/>
      </w:tblPr>
      <w:tblGrid>
        <w:gridCol w:w="3892"/>
        <w:gridCol w:w="1679"/>
        <w:gridCol w:w="1681"/>
        <w:gridCol w:w="1679"/>
      </w:tblGrid>
      <w:tr w:rsidR="00997D8A" w:rsidRPr="00EF1841" w:rsidTr="000978D3">
        <w:trPr>
          <w:trHeight w:val="380"/>
        </w:trPr>
        <w:tc>
          <w:tcPr>
            <w:tcW w:w="2179" w:type="pct"/>
            <w:tcBorders>
              <w:top w:val="single" w:sz="4" w:space="0" w:color="auto"/>
              <w:bottom w:val="nil"/>
            </w:tcBorders>
            <w:shd w:val="pct10" w:color="auto" w:fill="auto"/>
            <w:noWrap/>
            <w:vAlign w:val="center"/>
          </w:tcPr>
          <w:p w:rsidR="00997D8A" w:rsidRPr="00E21DD1" w:rsidRDefault="00997D8A" w:rsidP="000978D3">
            <w:pPr>
              <w:spacing w:before="60" w:after="60" w:line="240" w:lineRule="auto"/>
              <w:ind w:right="113"/>
              <w:rPr>
                <w:color w:val="000000"/>
              </w:rPr>
            </w:pPr>
          </w:p>
        </w:tc>
        <w:tc>
          <w:tcPr>
            <w:tcW w:w="2821" w:type="pct"/>
            <w:gridSpan w:val="3"/>
            <w:shd w:val="pct10" w:color="auto" w:fill="auto"/>
            <w:noWrap/>
            <w:vAlign w:val="center"/>
          </w:tcPr>
          <w:p w:rsidR="00997D8A" w:rsidRPr="00E21DD1" w:rsidRDefault="00997D8A" w:rsidP="000978D3">
            <w:pPr>
              <w:spacing w:before="60" w:after="60" w:line="240" w:lineRule="auto"/>
              <w:ind w:right="113"/>
              <w:jc w:val="center"/>
              <w:rPr>
                <w:color w:val="000000"/>
              </w:rPr>
            </w:pPr>
            <w:r>
              <w:rPr>
                <w:color w:val="000000"/>
              </w:rPr>
              <w:t>Hybride Unternehmen</w:t>
            </w:r>
          </w:p>
        </w:tc>
      </w:tr>
      <w:tr w:rsidR="00B938A7" w:rsidRPr="00EF1841" w:rsidTr="00997D8A">
        <w:trPr>
          <w:trHeight w:val="380"/>
        </w:trPr>
        <w:tc>
          <w:tcPr>
            <w:tcW w:w="2179" w:type="pct"/>
            <w:tcBorders>
              <w:top w:val="nil"/>
            </w:tcBorders>
            <w:shd w:val="pct10" w:color="auto" w:fill="auto"/>
            <w:noWrap/>
            <w:vAlign w:val="center"/>
            <w:hideMark/>
          </w:tcPr>
          <w:p w:rsidR="00B938A7" w:rsidRPr="00E21DD1" w:rsidRDefault="00B938A7" w:rsidP="000978D3">
            <w:pPr>
              <w:spacing w:before="60" w:after="60" w:line="240" w:lineRule="auto"/>
              <w:ind w:right="113"/>
              <w:rPr>
                <w:color w:val="000000"/>
              </w:rPr>
            </w:pPr>
          </w:p>
        </w:tc>
        <w:tc>
          <w:tcPr>
            <w:tcW w:w="940" w:type="pct"/>
            <w:shd w:val="pct10" w:color="auto" w:fill="auto"/>
            <w:noWrap/>
            <w:vAlign w:val="center"/>
          </w:tcPr>
          <w:p w:rsidR="00B938A7" w:rsidRPr="00E21DD1" w:rsidRDefault="00B938A7" w:rsidP="000978D3">
            <w:pPr>
              <w:spacing w:before="60" w:after="60" w:line="240" w:lineRule="auto"/>
              <w:ind w:right="113"/>
              <w:jc w:val="center"/>
              <w:rPr>
                <w:color w:val="000000"/>
              </w:rPr>
            </w:pPr>
            <w:r>
              <w:rPr>
                <w:color w:val="000000"/>
              </w:rPr>
              <w:t>Standard</w:t>
            </w:r>
          </w:p>
        </w:tc>
        <w:tc>
          <w:tcPr>
            <w:tcW w:w="941" w:type="pct"/>
            <w:shd w:val="pct10" w:color="auto" w:fill="auto"/>
            <w:noWrap/>
            <w:vAlign w:val="center"/>
          </w:tcPr>
          <w:p w:rsidR="00B938A7" w:rsidRPr="00E21DD1" w:rsidRDefault="00B938A7" w:rsidP="000978D3">
            <w:pPr>
              <w:spacing w:before="60" w:after="60" w:line="240" w:lineRule="auto"/>
              <w:ind w:right="113"/>
              <w:jc w:val="center"/>
              <w:rPr>
                <w:color w:val="000000"/>
              </w:rPr>
            </w:pPr>
            <w:r>
              <w:rPr>
                <w:color w:val="000000"/>
              </w:rPr>
              <w:t>Plus</w:t>
            </w:r>
          </w:p>
        </w:tc>
        <w:tc>
          <w:tcPr>
            <w:tcW w:w="941" w:type="pct"/>
            <w:shd w:val="pct10" w:color="auto" w:fill="auto"/>
            <w:noWrap/>
            <w:vAlign w:val="center"/>
            <w:hideMark/>
          </w:tcPr>
          <w:p w:rsidR="00B938A7" w:rsidRPr="00E21DD1" w:rsidRDefault="00B938A7" w:rsidP="000978D3">
            <w:pPr>
              <w:spacing w:before="60" w:after="60" w:line="240" w:lineRule="auto"/>
              <w:ind w:right="113"/>
              <w:jc w:val="center"/>
              <w:rPr>
                <w:color w:val="000000"/>
              </w:rPr>
            </w:pPr>
            <w:r w:rsidRPr="00E21DD1">
              <w:rPr>
                <w:color w:val="000000"/>
              </w:rPr>
              <w:t>Gesamt</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Breitere Kompetenzen</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63,3</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66,9</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63,8</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Höherer Kommunikationsbedarf</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60,6</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79,8</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63,4</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Höhere Mitarbeiterqualifikation</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51,4</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69,1</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53,9</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Mehr Facharbeiter/Spezialisten</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45,9</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53,5</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46,8</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Stärkere Befassung mit Kundenmärkten</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41,1</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73,6</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45,6</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Neudefinition der Kundenbeziehungen</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39,3</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78,0</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44,8</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Höherer IT-Aufwand</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37,7</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53,5</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40,0</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Umbau der Organisation</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28,9</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65,4</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34,1</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Kostenprobleme</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27,0</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20,1</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25,9</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Vorhaltung von zu vielen Leistungen</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15,4</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13,4</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15,1</w:t>
            </w:r>
          </w:p>
        </w:tc>
      </w:tr>
      <w:tr w:rsidR="00B938A7" w:rsidRPr="00EF1841" w:rsidTr="00997D8A">
        <w:trPr>
          <w:trHeight w:val="380"/>
        </w:trPr>
        <w:tc>
          <w:tcPr>
            <w:tcW w:w="2179" w:type="pct"/>
            <w:shd w:val="pct10" w:color="auto" w:fill="auto"/>
            <w:noWrap/>
            <w:vAlign w:val="center"/>
            <w:hideMark/>
          </w:tcPr>
          <w:p w:rsidR="00B938A7" w:rsidRPr="00E21DD1" w:rsidRDefault="00B938A7" w:rsidP="000978D3">
            <w:pPr>
              <w:spacing w:before="60" w:after="60" w:line="240" w:lineRule="auto"/>
              <w:ind w:right="113"/>
              <w:rPr>
                <w:color w:val="000000"/>
              </w:rPr>
            </w:pPr>
            <w:r w:rsidRPr="00E21DD1">
              <w:rPr>
                <w:color w:val="000000"/>
              </w:rPr>
              <w:t>Höherer Marktforschungsbedarf</w:t>
            </w:r>
          </w:p>
        </w:tc>
        <w:tc>
          <w:tcPr>
            <w:tcW w:w="940" w:type="pct"/>
            <w:shd w:val="pct10" w:color="auto" w:fill="auto"/>
            <w:vAlign w:val="center"/>
          </w:tcPr>
          <w:p w:rsidR="00B938A7" w:rsidRPr="00E21DD1" w:rsidRDefault="00B938A7" w:rsidP="00B6247B">
            <w:pPr>
              <w:spacing w:before="60" w:after="60" w:line="240" w:lineRule="auto"/>
              <w:ind w:right="113"/>
              <w:jc w:val="center"/>
              <w:rPr>
                <w:color w:val="000000"/>
              </w:rPr>
            </w:pPr>
            <w:r w:rsidRPr="00E21DD1">
              <w:rPr>
                <w:color w:val="000000"/>
              </w:rPr>
              <w:t>13,2</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sidRPr="00E21DD1">
              <w:rPr>
                <w:color w:val="000000"/>
              </w:rPr>
              <w:t>18,2</w:t>
            </w:r>
          </w:p>
        </w:tc>
        <w:tc>
          <w:tcPr>
            <w:tcW w:w="941" w:type="pct"/>
            <w:shd w:val="pct10" w:color="auto" w:fill="auto"/>
            <w:vAlign w:val="center"/>
          </w:tcPr>
          <w:p w:rsidR="00B938A7" w:rsidRPr="00E21DD1" w:rsidRDefault="00B938A7" w:rsidP="00B6247B">
            <w:pPr>
              <w:spacing w:before="60" w:after="60" w:line="240" w:lineRule="auto"/>
              <w:jc w:val="center"/>
              <w:rPr>
                <w:color w:val="000000"/>
              </w:rPr>
            </w:pPr>
            <w:r>
              <w:rPr>
                <w:color w:val="000000"/>
              </w:rPr>
              <w:t>13,6</w:t>
            </w:r>
          </w:p>
        </w:tc>
      </w:tr>
    </w:tbl>
    <w:p w:rsidR="00B938A7" w:rsidRPr="007923CD" w:rsidRDefault="00086E96" w:rsidP="00AB3D94">
      <w:pPr>
        <w:framePr w:w="8908" w:h="976" w:hRule="exact" w:hSpace="141" w:wrap="around" w:vAnchor="text" w:hAnchor="page" w:x="1420" w:y="5300"/>
        <w:ind w:right="113"/>
        <w:suppressOverlap/>
        <w:rPr>
          <w:sz w:val="16"/>
          <w:szCs w:val="16"/>
        </w:rPr>
      </w:pPr>
      <w:r>
        <w:rPr>
          <w:noProof/>
          <w:color w:val="000000" w:themeColor="text1"/>
          <w:sz w:val="16"/>
          <w:szCs w:val="16"/>
        </w:rPr>
        <w:pict>
          <v:shape id="_x0000_s1042" type="#_x0000_t75" style="position:absolute;margin-left:372.3pt;margin-top:293.05pt;width:65.4pt;height:18.6pt;z-index:251717632;visibility:visible;mso-wrap-edited:f;mso-position-horizontal-relative:text;mso-position-vertical-relative:text" o:allowincell="f" fillcolor="window">
            <v:imagedata r:id="rId9" o:title="" gain="69719f"/>
            <w10:wrap type="topAndBottom"/>
          </v:shape>
          <o:OLEObject Type="Embed" ProgID="Word.Picture.8" ShapeID="_x0000_s1042" DrawAspect="Content" ObjectID="_1397992695" r:id="rId23"/>
        </w:pict>
      </w:r>
      <w:r w:rsidR="00B938A7" w:rsidRPr="00321120">
        <w:rPr>
          <w:sz w:val="16"/>
          <w:szCs w:val="16"/>
        </w:rPr>
        <w:t>Umsatzgewichtete hochgerechnete Ergebnisse;</w:t>
      </w:r>
      <w:r w:rsidR="00B938A7">
        <w:rPr>
          <w:sz w:val="16"/>
          <w:szCs w:val="16"/>
        </w:rPr>
        <w:t xml:space="preserve"> d</w:t>
      </w:r>
      <w:r w:rsidR="00B938A7" w:rsidRPr="00321120">
        <w:rPr>
          <w:sz w:val="16"/>
          <w:szCs w:val="16"/>
        </w:rPr>
        <w:t>as Gesamtergebnis für hybride Unternehmen ergibt sich aus dem Mittelwert aller hybr</w:t>
      </w:r>
      <w:r w:rsidR="00B938A7" w:rsidRPr="00321120">
        <w:rPr>
          <w:sz w:val="16"/>
          <w:szCs w:val="16"/>
        </w:rPr>
        <w:t>i</w:t>
      </w:r>
      <w:r w:rsidR="00501975">
        <w:rPr>
          <w:sz w:val="16"/>
          <w:szCs w:val="16"/>
        </w:rPr>
        <w:t>den Unternehmen. Die Standard-H</w:t>
      </w:r>
      <w:r w:rsidR="00EB4C3F">
        <w:rPr>
          <w:sz w:val="16"/>
          <w:szCs w:val="16"/>
        </w:rPr>
        <w:t>ybrid-</w:t>
      </w:r>
      <w:r w:rsidR="00B938A7" w:rsidRPr="00321120">
        <w:rPr>
          <w:sz w:val="16"/>
          <w:szCs w:val="16"/>
        </w:rPr>
        <w:t>Unternehmen dominieren aufgrund ihrer Häufigkeit diesen Mittelwert.</w:t>
      </w:r>
      <w:r w:rsidR="00B938A7">
        <w:rPr>
          <w:sz w:val="16"/>
          <w:szCs w:val="16"/>
        </w:rPr>
        <w:t xml:space="preserve"> </w:t>
      </w:r>
      <w:r w:rsidR="00B938A7" w:rsidRPr="00321120">
        <w:rPr>
          <w:color w:val="000000"/>
          <w:sz w:val="16"/>
          <w:szCs w:val="16"/>
        </w:rPr>
        <w:t>Darstellung der An</w:t>
      </w:r>
      <w:r w:rsidR="00B938A7" w:rsidRPr="00321120">
        <w:rPr>
          <w:color w:val="000000"/>
          <w:sz w:val="16"/>
          <w:szCs w:val="16"/>
        </w:rPr>
        <w:t>t</w:t>
      </w:r>
      <w:r w:rsidR="00B938A7" w:rsidRPr="00321120">
        <w:rPr>
          <w:color w:val="000000"/>
          <w:sz w:val="16"/>
          <w:szCs w:val="16"/>
        </w:rPr>
        <w:t xml:space="preserve">wortkategorien (ja, erheblich und ja); unberücksichtigt (ja, aber nur im geringen Ausmaß; </w:t>
      </w:r>
      <w:r w:rsidR="00997D8A">
        <w:rPr>
          <w:color w:val="000000"/>
          <w:sz w:val="16"/>
          <w:szCs w:val="16"/>
        </w:rPr>
        <w:br/>
      </w:r>
      <w:r w:rsidR="00B938A7" w:rsidRPr="00321120">
        <w:rPr>
          <w:color w:val="000000"/>
          <w:sz w:val="16"/>
          <w:szCs w:val="16"/>
        </w:rPr>
        <w:t>nein; nicht relevant; keine Angabe)</w:t>
      </w:r>
      <w:r w:rsidR="00B938A7">
        <w:rPr>
          <w:color w:val="000000"/>
          <w:sz w:val="16"/>
          <w:szCs w:val="16"/>
        </w:rPr>
        <w:t>.</w:t>
      </w:r>
    </w:p>
    <w:p w:rsidR="00B938A7" w:rsidRPr="00B938A7" w:rsidRDefault="00B938A7" w:rsidP="00AB3D94">
      <w:pPr>
        <w:framePr w:w="8908" w:h="976" w:hRule="exact" w:hSpace="141" w:wrap="around" w:vAnchor="text" w:hAnchor="page" w:x="1420" w:y="5300"/>
        <w:suppressOverlap/>
        <w:jc w:val="both"/>
        <w:rPr>
          <w:color w:val="000000" w:themeColor="text1"/>
          <w:sz w:val="16"/>
          <w:szCs w:val="16"/>
        </w:rPr>
      </w:pPr>
      <w:r w:rsidRPr="00321120">
        <w:rPr>
          <w:color w:val="000000" w:themeColor="text1"/>
          <w:sz w:val="16"/>
          <w:szCs w:val="16"/>
        </w:rPr>
        <w:t>Quelle: IW-Zukunftspanel, 2011</w:t>
      </w:r>
    </w:p>
    <w:p w:rsidR="00397675" w:rsidRPr="00EF1841" w:rsidRDefault="00397675" w:rsidP="00397675">
      <w:pPr>
        <w:spacing w:line="360" w:lineRule="exact"/>
        <w:ind w:left="357" w:hanging="357"/>
        <w:jc w:val="both"/>
        <w:rPr>
          <w:rFonts w:ascii="Times New Roman" w:hAnsi="Times New Roman"/>
          <w:sz w:val="24"/>
        </w:rPr>
      </w:pPr>
      <w:r w:rsidRPr="00EF1841">
        <w:rPr>
          <w:rFonts w:ascii="Times New Roman" w:hAnsi="Times New Roman"/>
          <w:sz w:val="24"/>
        </w:rPr>
        <w:lastRenderedPageBreak/>
        <w:t>•</w:t>
      </w:r>
      <w:r w:rsidRPr="00EF1841">
        <w:rPr>
          <w:rFonts w:ascii="Times New Roman" w:hAnsi="Times New Roman"/>
          <w:sz w:val="24"/>
        </w:rPr>
        <w:tab/>
        <w:t xml:space="preserve">Fast zwei Drittel der hybriden Unternehmen geben an, dass die </w:t>
      </w:r>
      <w:r>
        <w:rPr>
          <w:rFonts w:ascii="Times New Roman" w:hAnsi="Times New Roman"/>
          <w:sz w:val="24"/>
        </w:rPr>
        <w:t xml:space="preserve">Einführung </w:t>
      </w:r>
      <w:r w:rsidRPr="00EF1841">
        <w:rPr>
          <w:rFonts w:ascii="Times New Roman" w:hAnsi="Times New Roman"/>
          <w:sz w:val="24"/>
        </w:rPr>
        <w:t>zusätzlicher Dienstleistungen ein</w:t>
      </w:r>
      <w:r>
        <w:rPr>
          <w:rFonts w:ascii="Times New Roman" w:hAnsi="Times New Roman"/>
          <w:sz w:val="24"/>
        </w:rPr>
        <w:t>en höheren</w:t>
      </w:r>
      <w:r w:rsidRPr="00EF1841">
        <w:rPr>
          <w:rFonts w:ascii="Times New Roman" w:hAnsi="Times New Roman"/>
          <w:sz w:val="24"/>
        </w:rPr>
        <w:t xml:space="preserve"> Kommunikationsbedarf und die Notwendigkeit der B</w:t>
      </w:r>
      <w:r w:rsidRPr="00EF1841">
        <w:rPr>
          <w:rFonts w:ascii="Times New Roman" w:hAnsi="Times New Roman"/>
          <w:sz w:val="24"/>
        </w:rPr>
        <w:t>e</w:t>
      </w:r>
      <w:r w:rsidRPr="00EF1841">
        <w:rPr>
          <w:rFonts w:ascii="Times New Roman" w:hAnsi="Times New Roman"/>
          <w:sz w:val="24"/>
        </w:rPr>
        <w:t>reitstellung eines br</w:t>
      </w:r>
      <w:r>
        <w:rPr>
          <w:rFonts w:ascii="Times New Roman" w:hAnsi="Times New Roman"/>
          <w:sz w:val="24"/>
        </w:rPr>
        <w:t>eiteren Kompetenzspektrums zur Folge hatten</w:t>
      </w:r>
      <w:r w:rsidRPr="00EF1841">
        <w:rPr>
          <w:rFonts w:ascii="Times New Roman" w:hAnsi="Times New Roman"/>
          <w:sz w:val="24"/>
        </w:rPr>
        <w:t>.</w:t>
      </w:r>
    </w:p>
    <w:p w:rsidR="00397675" w:rsidRPr="00EF1841" w:rsidRDefault="00397675" w:rsidP="00397675">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Etwa die Häl</w:t>
      </w:r>
      <w:r>
        <w:rPr>
          <w:rFonts w:ascii="Times New Roman" w:hAnsi="Times New Roman"/>
          <w:sz w:val="24"/>
        </w:rPr>
        <w:t xml:space="preserve">fte meldet Rückwirkungen auf den </w:t>
      </w:r>
      <w:r w:rsidRPr="00EF1841">
        <w:rPr>
          <w:rFonts w:ascii="Times New Roman" w:hAnsi="Times New Roman"/>
          <w:sz w:val="24"/>
        </w:rPr>
        <w:t xml:space="preserve">Bereich </w:t>
      </w:r>
      <w:r>
        <w:rPr>
          <w:rFonts w:ascii="Times New Roman" w:hAnsi="Times New Roman"/>
          <w:sz w:val="24"/>
        </w:rPr>
        <w:t>„</w:t>
      </w:r>
      <w:r w:rsidRPr="00EF1841">
        <w:rPr>
          <w:rFonts w:ascii="Times New Roman" w:hAnsi="Times New Roman"/>
          <w:sz w:val="24"/>
        </w:rPr>
        <w:t>höherer Bedarf bei Qualifik</w:t>
      </w:r>
      <w:r w:rsidRPr="00EF1841">
        <w:rPr>
          <w:rFonts w:ascii="Times New Roman" w:hAnsi="Times New Roman"/>
          <w:sz w:val="24"/>
        </w:rPr>
        <w:t>a</w:t>
      </w:r>
      <w:r w:rsidRPr="00EF1841">
        <w:rPr>
          <w:rFonts w:ascii="Times New Roman" w:hAnsi="Times New Roman"/>
          <w:sz w:val="24"/>
        </w:rPr>
        <w:t>tionen, Fachkräften und Spezialisten</w:t>
      </w:r>
      <w:r>
        <w:rPr>
          <w:rFonts w:ascii="Times New Roman" w:hAnsi="Times New Roman"/>
          <w:sz w:val="24"/>
        </w:rPr>
        <w:t>“</w:t>
      </w:r>
      <w:r w:rsidRPr="00EF1841">
        <w:rPr>
          <w:rFonts w:ascii="Times New Roman" w:hAnsi="Times New Roman"/>
          <w:sz w:val="24"/>
        </w:rPr>
        <w:t>.</w:t>
      </w:r>
    </w:p>
    <w:p w:rsidR="00397675" w:rsidRPr="00EF1841" w:rsidRDefault="00397675" w:rsidP="00397675">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Gut zwei Fünftel der hybriden Unternehmen musste</w:t>
      </w:r>
      <w:r>
        <w:rPr>
          <w:rFonts w:ascii="Times New Roman" w:hAnsi="Times New Roman"/>
          <w:sz w:val="24"/>
        </w:rPr>
        <w:t>n</w:t>
      </w:r>
      <w:r w:rsidRPr="00EF1841">
        <w:rPr>
          <w:rFonts w:ascii="Times New Roman" w:hAnsi="Times New Roman"/>
          <w:sz w:val="24"/>
        </w:rPr>
        <w:t xml:space="preserve"> sich stärker mit den Märkten i</w:t>
      </w:r>
      <w:r w:rsidRPr="00EF1841">
        <w:rPr>
          <w:rFonts w:ascii="Times New Roman" w:hAnsi="Times New Roman"/>
          <w:sz w:val="24"/>
        </w:rPr>
        <w:t>h</w:t>
      </w:r>
      <w:r w:rsidRPr="00EF1841">
        <w:rPr>
          <w:rFonts w:ascii="Times New Roman" w:hAnsi="Times New Roman"/>
          <w:sz w:val="24"/>
        </w:rPr>
        <w:t>rer Kunden befassen und die Kundenbeziehungen neu definieren.</w:t>
      </w:r>
    </w:p>
    <w:p w:rsidR="00397675" w:rsidRDefault="00397675" w:rsidP="00397675">
      <w:pPr>
        <w:spacing w:line="360" w:lineRule="exact"/>
        <w:ind w:left="357" w:hanging="357"/>
        <w:jc w:val="both"/>
        <w:rPr>
          <w:rFonts w:ascii="Times New Roman" w:hAnsi="Times New Roman"/>
          <w:sz w:val="24"/>
        </w:rPr>
      </w:pPr>
      <w:r w:rsidRPr="00EF1841">
        <w:rPr>
          <w:rFonts w:ascii="Times New Roman" w:hAnsi="Times New Roman"/>
          <w:sz w:val="24"/>
        </w:rPr>
        <w:t>•</w:t>
      </w:r>
      <w:r w:rsidRPr="00EF1841">
        <w:rPr>
          <w:rFonts w:ascii="Times New Roman" w:hAnsi="Times New Roman"/>
          <w:sz w:val="24"/>
        </w:rPr>
        <w:tab/>
        <w:t>Zwei Fünftel der Unternehmen hat</w:t>
      </w:r>
      <w:r>
        <w:rPr>
          <w:rFonts w:ascii="Times New Roman" w:hAnsi="Times New Roman"/>
          <w:sz w:val="24"/>
        </w:rPr>
        <w:t>ten</w:t>
      </w:r>
      <w:r w:rsidRPr="00EF1841">
        <w:rPr>
          <w:rFonts w:ascii="Times New Roman" w:hAnsi="Times New Roman"/>
          <w:sz w:val="24"/>
        </w:rPr>
        <w:t xml:space="preserve"> einen höheren IT-Aufwand und ein Drittel mus</w:t>
      </w:r>
      <w:r w:rsidRPr="00EF1841">
        <w:rPr>
          <w:rFonts w:ascii="Times New Roman" w:hAnsi="Times New Roman"/>
          <w:sz w:val="24"/>
        </w:rPr>
        <w:t>s</w:t>
      </w:r>
      <w:r w:rsidRPr="00EF1841">
        <w:rPr>
          <w:rFonts w:ascii="Times New Roman" w:hAnsi="Times New Roman"/>
          <w:sz w:val="24"/>
        </w:rPr>
        <w:t xml:space="preserve">te die eigene Organisation anpassen. Ein Viertel der Unternehmen </w:t>
      </w:r>
      <w:r>
        <w:rPr>
          <w:rFonts w:ascii="Times New Roman" w:hAnsi="Times New Roman"/>
          <w:sz w:val="24"/>
        </w:rPr>
        <w:t>nennt</w:t>
      </w:r>
      <w:r w:rsidRPr="00EF1841">
        <w:rPr>
          <w:rFonts w:ascii="Times New Roman" w:hAnsi="Times New Roman"/>
          <w:sz w:val="24"/>
        </w:rPr>
        <w:t xml:space="preserve"> Kosten</w:t>
      </w:r>
      <w:r>
        <w:rPr>
          <w:rFonts w:ascii="Times New Roman" w:hAnsi="Times New Roman"/>
          <w:sz w:val="24"/>
        </w:rPr>
        <w:t>-</w:t>
      </w:r>
      <w:r w:rsidRPr="00EF1841">
        <w:rPr>
          <w:rFonts w:ascii="Times New Roman" w:hAnsi="Times New Roman"/>
          <w:sz w:val="24"/>
        </w:rPr>
        <w:t>probleme.</w:t>
      </w:r>
    </w:p>
    <w:p w:rsidR="00397675" w:rsidRDefault="00397675" w:rsidP="00E062B2">
      <w:pPr>
        <w:spacing w:line="360" w:lineRule="exact"/>
        <w:jc w:val="both"/>
        <w:rPr>
          <w:rFonts w:ascii="Times New Roman" w:hAnsi="Times New Roman"/>
          <w:sz w:val="24"/>
        </w:rPr>
      </w:pPr>
    </w:p>
    <w:p w:rsidR="00E062B2" w:rsidRDefault="00E062B2" w:rsidP="00E062B2">
      <w:pPr>
        <w:spacing w:line="360" w:lineRule="exact"/>
        <w:jc w:val="both"/>
        <w:rPr>
          <w:rFonts w:ascii="Times New Roman" w:hAnsi="Times New Roman"/>
          <w:sz w:val="24"/>
        </w:rPr>
      </w:pPr>
      <w:r w:rsidRPr="00EF1841">
        <w:rPr>
          <w:rFonts w:ascii="Times New Roman" w:hAnsi="Times New Roman"/>
          <w:sz w:val="24"/>
        </w:rPr>
        <w:t>Bei den Hybrid-Plus-Unternehmen sind die meisten dieser Rückwirkungen deutlich öfter festzustellen. Je komplexer das Geschäftsmodell ist, umso intensiver müssen offensichtlich Qualifikationen, Kompetenzen, IT-Konzepte und Organisationen angepasst und die Ku</w:t>
      </w:r>
      <w:r w:rsidRPr="00EF1841">
        <w:rPr>
          <w:rFonts w:ascii="Times New Roman" w:hAnsi="Times New Roman"/>
          <w:sz w:val="24"/>
        </w:rPr>
        <w:t>n</w:t>
      </w:r>
      <w:r w:rsidRPr="00EF1841">
        <w:rPr>
          <w:rFonts w:ascii="Times New Roman" w:hAnsi="Times New Roman"/>
          <w:sz w:val="24"/>
        </w:rPr>
        <w:t>denbeziehungen intensiviert werden.</w:t>
      </w:r>
    </w:p>
    <w:p w:rsidR="005B532A" w:rsidRPr="00EF1841" w:rsidRDefault="005B532A" w:rsidP="005B532A">
      <w:pPr>
        <w:spacing w:line="360" w:lineRule="exact"/>
        <w:ind w:left="357" w:hanging="357"/>
        <w:jc w:val="both"/>
        <w:rPr>
          <w:rFonts w:ascii="Times New Roman" w:hAnsi="Times New Roman"/>
          <w:sz w:val="24"/>
        </w:rPr>
      </w:pPr>
    </w:p>
    <w:p w:rsidR="005B532A" w:rsidRDefault="005B532A" w:rsidP="005B532A">
      <w:pPr>
        <w:spacing w:line="360" w:lineRule="exact"/>
        <w:jc w:val="both"/>
        <w:rPr>
          <w:rFonts w:ascii="Times New Roman" w:hAnsi="Times New Roman"/>
          <w:sz w:val="24"/>
        </w:rPr>
      </w:pPr>
      <w:r w:rsidRPr="00EF1841">
        <w:rPr>
          <w:rFonts w:ascii="Times New Roman" w:hAnsi="Times New Roman"/>
          <w:sz w:val="24"/>
        </w:rPr>
        <w:t>In vier Fallstudien, die im Rahmen der</w:t>
      </w:r>
      <w:r>
        <w:rPr>
          <w:rFonts w:ascii="Times New Roman" w:hAnsi="Times New Roman"/>
          <w:sz w:val="24"/>
        </w:rPr>
        <w:t xml:space="preserve"> vorliegenden</w:t>
      </w:r>
      <w:r w:rsidRPr="00EF1841">
        <w:rPr>
          <w:rFonts w:ascii="Times New Roman" w:hAnsi="Times New Roman"/>
          <w:sz w:val="24"/>
        </w:rPr>
        <w:t xml:space="preserve"> Studie zur hybriden Wertschöpfung durchgeführt wurden, </w:t>
      </w:r>
      <w:r w:rsidR="00501975">
        <w:rPr>
          <w:rFonts w:ascii="Times New Roman" w:hAnsi="Times New Roman"/>
          <w:sz w:val="24"/>
        </w:rPr>
        <w:t>zeigt sich</w:t>
      </w:r>
      <w:r w:rsidRPr="00EF1841">
        <w:rPr>
          <w:rFonts w:ascii="Times New Roman" w:hAnsi="Times New Roman"/>
          <w:sz w:val="24"/>
        </w:rPr>
        <w:t xml:space="preserve"> zudem oft die Skepsis von Kunden hinsichtlich hybrider Konzep</w:t>
      </w:r>
      <w:r w:rsidR="00501975">
        <w:rPr>
          <w:rFonts w:ascii="Times New Roman" w:hAnsi="Times New Roman"/>
          <w:sz w:val="24"/>
        </w:rPr>
        <w:t>te</w:t>
      </w:r>
      <w:r w:rsidRPr="00EF1841">
        <w:rPr>
          <w:rFonts w:ascii="Times New Roman" w:hAnsi="Times New Roman"/>
          <w:sz w:val="24"/>
        </w:rPr>
        <w:t>. Die</w:t>
      </w:r>
      <w:r w:rsidR="00B6247B">
        <w:rPr>
          <w:rFonts w:ascii="Times New Roman" w:hAnsi="Times New Roman"/>
          <w:sz w:val="24"/>
        </w:rPr>
        <w:t>se</w:t>
      </w:r>
      <w:r w:rsidRPr="00EF1841">
        <w:rPr>
          <w:rFonts w:ascii="Times New Roman" w:hAnsi="Times New Roman"/>
          <w:sz w:val="24"/>
        </w:rPr>
        <w:t xml:space="preserve"> Skepsis resultiert </w:t>
      </w:r>
      <w:r w:rsidR="00501975">
        <w:rPr>
          <w:rFonts w:ascii="Times New Roman" w:hAnsi="Times New Roman"/>
          <w:sz w:val="24"/>
        </w:rPr>
        <w:t xml:space="preserve">beispielsweise </w:t>
      </w:r>
      <w:r w:rsidRPr="00EF1841">
        <w:rPr>
          <w:rFonts w:ascii="Times New Roman" w:hAnsi="Times New Roman"/>
          <w:sz w:val="24"/>
        </w:rPr>
        <w:t>aus der Neuartigkeit der Kundenbezi</w:t>
      </w:r>
      <w:r w:rsidRPr="00EF1841">
        <w:rPr>
          <w:rFonts w:ascii="Times New Roman" w:hAnsi="Times New Roman"/>
          <w:sz w:val="24"/>
        </w:rPr>
        <w:t>e</w:t>
      </w:r>
      <w:r w:rsidRPr="00EF1841">
        <w:rPr>
          <w:rFonts w:ascii="Times New Roman" w:hAnsi="Times New Roman"/>
          <w:sz w:val="24"/>
        </w:rPr>
        <w:t>hung und der Erlösmodelle. Hybride Modelle erfordern eine hohe Transparenz und eine „Beziehung auf Augenhöhe“ zwischen den beteiligten Unter</w:t>
      </w:r>
      <w:r w:rsidR="009B3400">
        <w:rPr>
          <w:rFonts w:ascii="Times New Roman" w:hAnsi="Times New Roman"/>
          <w:sz w:val="24"/>
        </w:rPr>
        <w:t>nehmen. Auch die Unkenntnis a</w:t>
      </w:r>
      <w:r w:rsidRPr="00EF1841">
        <w:rPr>
          <w:rFonts w:ascii="Times New Roman" w:hAnsi="Times New Roman"/>
          <w:sz w:val="24"/>
        </w:rPr>
        <w:t xml:space="preserve">m Markt ist </w:t>
      </w:r>
      <w:r w:rsidR="009B3400">
        <w:rPr>
          <w:rFonts w:ascii="Times New Roman" w:hAnsi="Times New Roman"/>
          <w:sz w:val="24"/>
        </w:rPr>
        <w:t>ein Hindernis</w:t>
      </w:r>
      <w:r w:rsidRPr="00EF1841">
        <w:rPr>
          <w:rFonts w:ascii="Times New Roman" w:hAnsi="Times New Roman"/>
          <w:sz w:val="24"/>
        </w:rPr>
        <w:t xml:space="preserve"> für eine breite Akzeptanz, da Unkenntnis oftmals Misstrauen nach sich zieht.</w:t>
      </w:r>
    </w:p>
    <w:p w:rsidR="00397675" w:rsidRDefault="00397675" w:rsidP="005B532A">
      <w:pPr>
        <w:spacing w:line="360" w:lineRule="exact"/>
        <w:jc w:val="both"/>
        <w:rPr>
          <w:rFonts w:ascii="Times New Roman" w:hAnsi="Times New Roman"/>
          <w:sz w:val="24"/>
        </w:rPr>
      </w:pPr>
    </w:p>
    <w:p w:rsidR="00397675" w:rsidRDefault="00397675" w:rsidP="00397675">
      <w:pPr>
        <w:spacing w:line="360" w:lineRule="exact"/>
        <w:jc w:val="both"/>
        <w:rPr>
          <w:rFonts w:ascii="Times New Roman" w:hAnsi="Times New Roman"/>
          <w:sz w:val="24"/>
        </w:rPr>
      </w:pPr>
      <w:r w:rsidRPr="00EF1841">
        <w:rPr>
          <w:rFonts w:ascii="Times New Roman" w:hAnsi="Times New Roman"/>
          <w:sz w:val="24"/>
        </w:rPr>
        <w:t xml:space="preserve">Abbildung </w:t>
      </w:r>
      <w:r>
        <w:rPr>
          <w:rFonts w:ascii="Times New Roman" w:hAnsi="Times New Roman"/>
          <w:sz w:val="24"/>
        </w:rPr>
        <w:t>3</w:t>
      </w:r>
      <w:r w:rsidRPr="00EF1841">
        <w:rPr>
          <w:rFonts w:ascii="Times New Roman" w:hAnsi="Times New Roman"/>
          <w:sz w:val="24"/>
        </w:rPr>
        <w:t xml:space="preserve"> zeigt die Ergebnisse </w:t>
      </w:r>
      <w:r>
        <w:rPr>
          <w:rFonts w:ascii="Times New Roman" w:hAnsi="Times New Roman"/>
          <w:sz w:val="24"/>
        </w:rPr>
        <w:t>der Unternehmensbefragung</w:t>
      </w:r>
      <w:r w:rsidRPr="00EF1841">
        <w:rPr>
          <w:rFonts w:ascii="Times New Roman" w:hAnsi="Times New Roman"/>
          <w:sz w:val="24"/>
        </w:rPr>
        <w:t xml:space="preserve">. Es wird deutlich, dass viele der genannten 20 Tätigkeiten aus mangelndem Kundeninteresse nicht angeboten werden. </w:t>
      </w:r>
      <w:r>
        <w:rPr>
          <w:rFonts w:ascii="Times New Roman" w:hAnsi="Times New Roman"/>
          <w:sz w:val="24"/>
        </w:rPr>
        <w:t>H</w:t>
      </w:r>
      <w:r w:rsidRPr="00EF1841">
        <w:rPr>
          <w:rFonts w:ascii="Times New Roman" w:hAnsi="Times New Roman"/>
          <w:sz w:val="24"/>
        </w:rPr>
        <w:t>ybride</w:t>
      </w:r>
      <w:r>
        <w:rPr>
          <w:rFonts w:ascii="Times New Roman" w:hAnsi="Times New Roman"/>
          <w:sz w:val="24"/>
        </w:rPr>
        <w:t>n</w:t>
      </w:r>
      <w:r w:rsidRPr="00EF1841">
        <w:rPr>
          <w:rFonts w:ascii="Times New Roman" w:hAnsi="Times New Roman"/>
          <w:sz w:val="24"/>
        </w:rPr>
        <w:t xml:space="preserve"> Unternehmen fällt es offensichtlich aufgrund ihrer Erfahrungen leichter, das Kundeninteresse für hybride Tätigkeiten zu schüren. Nicht hybride Unternehmen haben wesentlich größere Schwierigkeiten, ihre Kunden von den Vorteilen hybrider Wertschö</w:t>
      </w:r>
      <w:r w:rsidRPr="00EF1841">
        <w:rPr>
          <w:rFonts w:ascii="Times New Roman" w:hAnsi="Times New Roman"/>
          <w:sz w:val="24"/>
        </w:rPr>
        <w:t>p</w:t>
      </w:r>
      <w:r w:rsidRPr="00EF1841">
        <w:rPr>
          <w:rFonts w:ascii="Times New Roman" w:hAnsi="Times New Roman"/>
          <w:sz w:val="24"/>
        </w:rPr>
        <w:t>fung zu überzeugen. Das mangelnde Kundeninteresse ist demnach ein bedeutender Grund dafür, dass nicht hybride Unternehmen die Schwelle zur Hybridität nur mit Mühe übe</w:t>
      </w:r>
      <w:r w:rsidRPr="00EF1841">
        <w:rPr>
          <w:rFonts w:ascii="Times New Roman" w:hAnsi="Times New Roman"/>
          <w:sz w:val="24"/>
        </w:rPr>
        <w:t>r</w:t>
      </w:r>
      <w:r w:rsidRPr="00EF1841">
        <w:rPr>
          <w:rFonts w:ascii="Times New Roman" w:hAnsi="Times New Roman"/>
          <w:sz w:val="24"/>
        </w:rPr>
        <w:t xml:space="preserve">schreiten. Es muss zunächst viel Überzeugungsarbeit bei den Kunden geleistet werden, die wiederum Vorbereitungszeit und ein ausgefeiltes </w:t>
      </w:r>
      <w:r>
        <w:rPr>
          <w:rFonts w:ascii="Times New Roman" w:hAnsi="Times New Roman"/>
          <w:sz w:val="24"/>
        </w:rPr>
        <w:t>K</w:t>
      </w:r>
      <w:r w:rsidRPr="00EF1841">
        <w:rPr>
          <w:rFonts w:ascii="Times New Roman" w:hAnsi="Times New Roman"/>
          <w:sz w:val="24"/>
        </w:rPr>
        <w:t>onzept mit schon im Vorfeld ent</w:t>
      </w:r>
      <w:r>
        <w:rPr>
          <w:rFonts w:ascii="Times New Roman" w:hAnsi="Times New Roman"/>
          <w:sz w:val="24"/>
        </w:rPr>
        <w:t>-</w:t>
      </w:r>
      <w:r w:rsidRPr="00EF1841">
        <w:rPr>
          <w:rFonts w:ascii="Times New Roman" w:hAnsi="Times New Roman"/>
          <w:sz w:val="24"/>
        </w:rPr>
        <w:t>wickelten interessanten Industrie-D</w:t>
      </w:r>
      <w:r>
        <w:rPr>
          <w:rFonts w:ascii="Times New Roman" w:hAnsi="Times New Roman"/>
          <w:sz w:val="24"/>
        </w:rPr>
        <w:t>ienstleistungsbündeln benötigt.</w:t>
      </w:r>
    </w:p>
    <w:p w:rsidR="00397675" w:rsidRDefault="00397675" w:rsidP="00397675">
      <w:pPr>
        <w:spacing w:line="360" w:lineRule="exact"/>
        <w:jc w:val="both"/>
        <w:rPr>
          <w:rFonts w:ascii="Times New Roman" w:hAnsi="Times New Roman"/>
          <w:sz w:val="24"/>
        </w:rPr>
      </w:pPr>
    </w:p>
    <w:p w:rsidR="00BA3747" w:rsidRDefault="00BA3747" w:rsidP="005B532A">
      <w:pPr>
        <w:spacing w:line="360" w:lineRule="exact"/>
        <w:jc w:val="both"/>
        <w:rPr>
          <w:rFonts w:ascii="Times New Roman" w:hAnsi="Times New Roman"/>
          <w:sz w:val="24"/>
        </w:rPr>
      </w:pPr>
    </w:p>
    <w:p w:rsidR="00397675" w:rsidRDefault="00397675">
      <w:pPr>
        <w:rPr>
          <w:rFonts w:ascii="Times New Roman" w:hAnsi="Times New Roman"/>
        </w:rPr>
      </w:pPr>
      <w:r>
        <w:rPr>
          <w:rFonts w:ascii="Times New Roman" w:hAnsi="Times New Roman"/>
        </w:rPr>
        <w:br w:type="page"/>
      </w:r>
    </w:p>
    <w:p w:rsidR="00E21DD1" w:rsidRDefault="002838FD" w:rsidP="00E21DD1">
      <w:pPr>
        <w:jc w:val="both"/>
        <w:rPr>
          <w:rFonts w:ascii="Times New Roman" w:hAnsi="Times New Roman"/>
        </w:rPr>
      </w:pPr>
      <w:r w:rsidRPr="00EF1841">
        <w:rPr>
          <w:rFonts w:ascii="Times New Roman" w:hAnsi="Times New Roman"/>
        </w:rPr>
        <w:lastRenderedPageBreak/>
        <w:t xml:space="preserve">Abbildung </w:t>
      </w:r>
      <w:r w:rsidR="003C539B">
        <w:rPr>
          <w:rFonts w:ascii="Times New Roman" w:hAnsi="Times New Roman"/>
        </w:rPr>
        <w:t>3</w:t>
      </w:r>
    </w:p>
    <w:p w:rsidR="00E21DD1" w:rsidRPr="00E21DD1" w:rsidRDefault="00B9661F" w:rsidP="00E21DD1">
      <w:pPr>
        <w:spacing w:before="120"/>
        <w:jc w:val="both"/>
        <w:rPr>
          <w:rFonts w:ascii="Times New Roman" w:hAnsi="Times New Roman"/>
          <w:b/>
          <w:sz w:val="32"/>
          <w:szCs w:val="32"/>
        </w:rPr>
      </w:pPr>
      <w:r>
        <w:rPr>
          <w:rFonts w:ascii="Times New Roman" w:hAnsi="Times New Roman"/>
          <w:b/>
          <w:sz w:val="32"/>
          <w:szCs w:val="32"/>
        </w:rPr>
        <w:t>Hemmnisse hybrider Wertschöpfung</w:t>
      </w:r>
    </w:p>
    <w:p w:rsidR="00E21DD1" w:rsidRPr="00B9661F" w:rsidRDefault="00B9661F" w:rsidP="00E21DD1">
      <w:pPr>
        <w:jc w:val="both"/>
        <w:rPr>
          <w:rFonts w:ascii="Times New Roman" w:hAnsi="Times New Roman"/>
          <w:noProof/>
          <w:sz w:val="22"/>
          <w:szCs w:val="22"/>
        </w:rPr>
      </w:pPr>
      <w:r w:rsidRPr="00B9661F">
        <w:rPr>
          <w:rFonts w:ascii="Times New Roman" w:hAnsi="Times New Roman"/>
          <w:noProof/>
          <w:sz w:val="22"/>
          <w:szCs w:val="22"/>
        </w:rPr>
        <w:t>Angaben in Prozent</w:t>
      </w:r>
      <w:r w:rsidR="00A5285F">
        <w:rPr>
          <w:rFonts w:ascii="Times New Roman" w:hAnsi="Times New Roman"/>
          <w:noProof/>
          <w:sz w:val="22"/>
          <w:szCs w:val="22"/>
        </w:rPr>
        <w:t xml:space="preserve"> der befragten Unternehmen des jeweiligen Unternehmenstyps</w:t>
      </w:r>
    </w:p>
    <w:p w:rsidR="00AB4BCC" w:rsidRDefault="00AB4BCC" w:rsidP="00E21DD1">
      <w:pPr>
        <w:jc w:val="both"/>
        <w:rPr>
          <w:rFonts w:ascii="Times New Roman" w:hAnsi="Times New Roman"/>
          <w:noProof/>
        </w:rPr>
      </w:pPr>
    </w:p>
    <w:p w:rsidR="00B9661F" w:rsidRDefault="00630998" w:rsidP="00E21DD1">
      <w:pPr>
        <w:jc w:val="both"/>
        <w:rPr>
          <w:rFonts w:ascii="Times New Roman" w:hAnsi="Times New Roman"/>
          <w:noProof/>
        </w:rPr>
      </w:pPr>
      <w:r w:rsidRPr="00630998">
        <w:rPr>
          <w:noProof/>
        </w:rPr>
        <w:drawing>
          <wp:inline distT="0" distB="0" distL="0" distR="0">
            <wp:extent cx="5438775" cy="3895725"/>
            <wp:effectExtent l="19050" t="19050" r="28575" b="285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38775" cy="3895725"/>
                    </a:xfrm>
                    <a:prstGeom prst="rect">
                      <a:avLst/>
                    </a:prstGeom>
                    <a:noFill/>
                    <a:ln>
                      <a:solidFill>
                        <a:schemeClr val="tx1"/>
                      </a:solidFill>
                    </a:ln>
                  </pic:spPr>
                </pic:pic>
              </a:graphicData>
            </a:graphic>
          </wp:inline>
        </w:drawing>
      </w:r>
      <w:r w:rsidR="00E062B2">
        <w:rPr>
          <w:noProof/>
        </w:rPr>
        <mc:AlternateContent>
          <mc:Choice Requires="wps">
            <w:drawing>
              <wp:anchor distT="0" distB="0" distL="114300" distR="114300" simplePos="0" relativeHeight="251697152" behindDoc="0" locked="0" layoutInCell="1" allowOverlap="1" wp14:anchorId="68D436F8" wp14:editId="304DB9E9">
                <wp:simplePos x="0" y="0"/>
                <wp:positionH relativeFrom="column">
                  <wp:posOffset>-70485</wp:posOffset>
                </wp:positionH>
                <wp:positionV relativeFrom="paragraph">
                  <wp:posOffset>3978910</wp:posOffset>
                </wp:positionV>
                <wp:extent cx="1344295" cy="1828800"/>
                <wp:effectExtent l="0" t="0" r="0" b="0"/>
                <wp:wrapSquare wrapText="bothSides"/>
                <wp:docPr id="22" name="Textfeld 22"/>
                <wp:cNvGraphicFramePr/>
                <a:graphic xmlns:a="http://schemas.openxmlformats.org/drawingml/2006/main">
                  <a:graphicData uri="http://schemas.microsoft.com/office/word/2010/wordprocessingShape">
                    <wps:wsp>
                      <wps:cNvSpPr txBox="1"/>
                      <wps:spPr>
                        <a:xfrm>
                          <a:off x="0" y="0"/>
                          <a:ext cx="1344295" cy="1828800"/>
                        </a:xfrm>
                        <a:prstGeom prst="rect">
                          <a:avLst/>
                        </a:prstGeom>
                        <a:noFill/>
                        <a:ln w="6350">
                          <a:noFill/>
                        </a:ln>
                        <a:effectLst/>
                      </wps:spPr>
                      <wps:txbx>
                        <w:txbxContent>
                          <w:p w:rsidR="00B35429" w:rsidRPr="002951A2" w:rsidRDefault="00B35429" w:rsidP="00EA013C">
                            <w:pPr>
                              <w:jc w:val="both"/>
                              <w:rPr>
                                <w:rFonts w:ascii="Times New Roman" w:hAnsi="Times New Roman"/>
                                <w:sz w:val="16"/>
                                <w:szCs w:val="16"/>
                              </w:rPr>
                            </w:pPr>
                            <w:r w:rsidRPr="002951A2">
                              <w:rPr>
                                <w:rFonts w:ascii="Times New Roman" w:hAnsi="Times New Roman"/>
                                <w:sz w:val="16"/>
                                <w:szCs w:val="16"/>
                              </w:rPr>
                              <w:t>Quelle: IW Consult,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22" o:spid="_x0000_s1034" type="#_x0000_t202" style="position:absolute;left:0;text-align:left;margin-left:-5.55pt;margin-top:313.3pt;width:105.85pt;height:2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" filled="f" stroked="f" strokeweight=".5pt">
                <v:textbox style="mso-fit-shape-to-text:t">
                  <w:txbxContent>
                    <w:p w:rsidR="00B35429" w:rsidRPr="002951A2" w:rsidRDefault="00B35429" w:rsidP="00EA013C">
                      <w:pPr>
                        <w:jc w:val="both"/>
                        <w:rPr>
                          <w:rFonts w:ascii="Times New Roman" w:hAnsi="Times New Roman"/>
                          <w:sz w:val="16"/>
                          <w:szCs w:val="16"/>
                        </w:rPr>
                      </w:pPr>
                      <w:r w:rsidRPr="002951A2">
                        <w:rPr>
                          <w:rFonts w:ascii="Times New Roman" w:hAnsi="Times New Roman"/>
                          <w:sz w:val="16"/>
                          <w:szCs w:val="16"/>
                        </w:rPr>
                        <w:t xml:space="preserve">Quelle: IW </w:t>
                      </w:r>
                      <w:proofErr w:type="spellStart"/>
                      <w:r w:rsidRPr="002951A2">
                        <w:rPr>
                          <w:rFonts w:ascii="Times New Roman" w:hAnsi="Times New Roman"/>
                          <w:sz w:val="16"/>
                          <w:szCs w:val="16"/>
                        </w:rPr>
                        <w:t>Consult</w:t>
                      </w:r>
                      <w:proofErr w:type="spellEnd"/>
                      <w:r w:rsidRPr="002951A2">
                        <w:rPr>
                          <w:rFonts w:ascii="Times New Roman" w:hAnsi="Times New Roman"/>
                          <w:sz w:val="16"/>
                          <w:szCs w:val="16"/>
                        </w:rPr>
                        <w:t>, 2011</w:t>
                      </w:r>
                    </w:p>
                  </w:txbxContent>
                </v:textbox>
                <w10:wrap type="square"/>
              </v:shape>
            </w:pict>
          </mc:Fallback>
        </mc:AlternateContent>
      </w:r>
      <w:r w:rsidR="00086E96">
        <w:rPr>
          <w:rFonts w:ascii="Times New Roman" w:hAnsi="Times New Roman"/>
          <w:noProof/>
          <w:sz w:val="24"/>
        </w:rPr>
        <w:pict>
          <v:shape id="_x0000_s1034" type="#_x0000_t75" style="position:absolute;left:0;text-align:left;margin-left:362.05pt;margin-top:314.8pt;width:65.4pt;height:18.6pt;z-index:251708416;visibility:visible;mso-wrap-edited:f;mso-position-horizontal-relative:text;mso-position-vertical-relative:text" o:allowincell="f" fillcolor="window">
            <v:imagedata r:id="rId9" o:title="" gain="69719f"/>
            <w10:wrap type="topAndBottom"/>
          </v:shape>
          <o:OLEObject Type="Embed" ProgID="Word.Picture.8" ShapeID="_x0000_s1034" DrawAspect="Content" ObjectID="_1397992696" r:id="rId25"/>
        </w:pict>
      </w:r>
    </w:p>
    <w:p w:rsidR="00E062B2" w:rsidRDefault="00E062B2" w:rsidP="00E062B2">
      <w:pPr>
        <w:spacing w:line="360" w:lineRule="exact"/>
        <w:jc w:val="both"/>
        <w:rPr>
          <w:rFonts w:ascii="Times New Roman" w:hAnsi="Times New Roman"/>
          <w:sz w:val="24"/>
        </w:rPr>
      </w:pPr>
    </w:p>
    <w:p w:rsidR="00395901" w:rsidRPr="00E21DD1" w:rsidRDefault="008166C9" w:rsidP="002951A2">
      <w:pPr>
        <w:spacing w:line="360" w:lineRule="exact"/>
        <w:jc w:val="both"/>
        <w:rPr>
          <w:rFonts w:ascii="Times New Roman" w:hAnsi="Times New Roman"/>
          <w:b/>
          <w:sz w:val="28"/>
          <w:szCs w:val="28"/>
        </w:rPr>
      </w:pPr>
      <w:r w:rsidRPr="00E21DD1">
        <w:rPr>
          <w:rFonts w:ascii="Times New Roman" w:hAnsi="Times New Roman"/>
          <w:b/>
          <w:sz w:val="28"/>
          <w:szCs w:val="28"/>
        </w:rPr>
        <w:t xml:space="preserve">Erfolg </w:t>
      </w:r>
      <w:r w:rsidR="00717ACB" w:rsidRPr="00E21DD1">
        <w:rPr>
          <w:rFonts w:ascii="Times New Roman" w:hAnsi="Times New Roman"/>
          <w:b/>
          <w:sz w:val="28"/>
          <w:szCs w:val="28"/>
        </w:rPr>
        <w:t xml:space="preserve">und Verbreitung </w:t>
      </w:r>
      <w:r w:rsidRPr="00E21DD1">
        <w:rPr>
          <w:rFonts w:ascii="Times New Roman" w:hAnsi="Times New Roman"/>
          <w:b/>
          <w:sz w:val="28"/>
          <w:szCs w:val="28"/>
        </w:rPr>
        <w:t>hybrider Geschäftsmodelle</w:t>
      </w:r>
    </w:p>
    <w:p w:rsidR="00B9661F" w:rsidRDefault="008166C9" w:rsidP="002951A2">
      <w:pPr>
        <w:spacing w:line="360" w:lineRule="exact"/>
        <w:jc w:val="both"/>
        <w:rPr>
          <w:rFonts w:ascii="Times New Roman" w:hAnsi="Times New Roman"/>
          <w:sz w:val="24"/>
        </w:rPr>
      </w:pPr>
      <w:r w:rsidRPr="00EF1841">
        <w:rPr>
          <w:rFonts w:ascii="Times New Roman" w:hAnsi="Times New Roman"/>
          <w:sz w:val="24"/>
        </w:rPr>
        <w:t>Noch wichtiger für die Beurteilung zur Selbsteinschätzung der Zielerreichungsgrade der Unternehmen sind objektive Daten zur Erfolgsentwicklung. Dafür wird auf Basis der U</w:t>
      </w:r>
      <w:r w:rsidRPr="00EF1841">
        <w:rPr>
          <w:rFonts w:ascii="Times New Roman" w:hAnsi="Times New Roman"/>
          <w:sz w:val="24"/>
        </w:rPr>
        <w:t>m</w:t>
      </w:r>
      <w:r w:rsidRPr="00EF1841">
        <w:rPr>
          <w:rFonts w:ascii="Times New Roman" w:hAnsi="Times New Roman"/>
          <w:sz w:val="24"/>
        </w:rPr>
        <w:t xml:space="preserve">satz- und Beschäftigungsentwicklung der Jahre 2006 bis 2010 ein Erfolgsindex berechnet. </w:t>
      </w:r>
      <w:r w:rsidR="001D3AA2">
        <w:rPr>
          <w:sz w:val="24"/>
        </w:rPr>
        <w:t>Hierbei handelt es sich um einen gleichgewichteten</w:t>
      </w:r>
      <w:r w:rsidR="001D3AA2" w:rsidRPr="00CE222F">
        <w:rPr>
          <w:sz w:val="24"/>
        </w:rPr>
        <w:t xml:space="preserve"> Index aus </w:t>
      </w:r>
      <w:r w:rsidR="001D3AA2">
        <w:rPr>
          <w:sz w:val="24"/>
        </w:rPr>
        <w:t xml:space="preserve">der </w:t>
      </w:r>
      <w:r w:rsidR="001D3AA2" w:rsidRPr="00CE222F">
        <w:rPr>
          <w:sz w:val="24"/>
        </w:rPr>
        <w:t>Besch</w:t>
      </w:r>
      <w:r w:rsidR="001D3AA2">
        <w:rPr>
          <w:sz w:val="24"/>
        </w:rPr>
        <w:t>äfti</w:t>
      </w:r>
      <w:r w:rsidR="001D3AA2" w:rsidRPr="00CE222F">
        <w:rPr>
          <w:sz w:val="24"/>
        </w:rPr>
        <w:t xml:space="preserve">gungs- und Umsatzentwicklung der Jahre 2006 bis 2010. Für jedes Unternehmen werden die beiden Wachstumsfaktoren berechnet, jeweils der Größe nach geordnet und in Dezile eingeteilt. Werte im obersten Dezil mit den höchsten Wachstumsraten erhalten </w:t>
      </w:r>
      <w:r w:rsidR="005A386F">
        <w:rPr>
          <w:sz w:val="24"/>
        </w:rPr>
        <w:t>10</w:t>
      </w:r>
      <w:r w:rsidR="001D3AA2" w:rsidRPr="00CE222F">
        <w:rPr>
          <w:sz w:val="24"/>
        </w:rPr>
        <w:t xml:space="preserve"> </w:t>
      </w:r>
      <w:r w:rsidR="005B532A">
        <w:rPr>
          <w:sz w:val="24"/>
        </w:rPr>
        <w:t xml:space="preserve">Punkte </w:t>
      </w:r>
      <w:r w:rsidR="005A386F">
        <w:rPr>
          <w:sz w:val="24"/>
        </w:rPr>
        <w:t>und die im untersten Dezil 1</w:t>
      </w:r>
      <w:r w:rsidR="001D3AA2" w:rsidRPr="00CE222F">
        <w:rPr>
          <w:sz w:val="24"/>
        </w:rPr>
        <w:t xml:space="preserve"> Punkt. Der Index wird auf den Dur</w:t>
      </w:r>
      <w:r w:rsidR="009B3400">
        <w:rPr>
          <w:sz w:val="24"/>
        </w:rPr>
        <w:t xml:space="preserve">chschnitt der Gruppe der </w:t>
      </w:r>
      <w:r w:rsidR="008E1CB9">
        <w:rPr>
          <w:sz w:val="24"/>
        </w:rPr>
        <w:t xml:space="preserve">nicht </w:t>
      </w:r>
      <w:r w:rsidR="009B3400">
        <w:rPr>
          <w:sz w:val="24"/>
        </w:rPr>
        <w:t>hybr</w:t>
      </w:r>
      <w:r w:rsidR="009B3400">
        <w:rPr>
          <w:sz w:val="24"/>
        </w:rPr>
        <w:t>i</w:t>
      </w:r>
      <w:r w:rsidR="009B3400">
        <w:rPr>
          <w:sz w:val="24"/>
        </w:rPr>
        <w:t>den</w:t>
      </w:r>
      <w:r w:rsidR="001D3AA2" w:rsidRPr="00CE222F">
        <w:rPr>
          <w:sz w:val="24"/>
        </w:rPr>
        <w:t xml:space="preserve"> Unternehmen (Tätigkeitskonzept) </w:t>
      </w:r>
      <w:r w:rsidR="001D3AA2">
        <w:rPr>
          <w:sz w:val="24"/>
        </w:rPr>
        <w:t xml:space="preserve">auf den Wert 100 </w:t>
      </w:r>
      <w:r w:rsidR="001D3AA2" w:rsidRPr="00CE222F">
        <w:rPr>
          <w:sz w:val="24"/>
        </w:rPr>
        <w:t>normiert</w:t>
      </w:r>
      <w:r w:rsidR="001D3AA2">
        <w:rPr>
          <w:sz w:val="24"/>
        </w:rPr>
        <w:t>:</w:t>
      </w:r>
    </w:p>
    <w:p w:rsidR="008166C9" w:rsidRPr="00240E07" w:rsidRDefault="008166C9" w:rsidP="00240E07">
      <w:pPr>
        <w:pStyle w:val="Listenabsatz"/>
        <w:numPr>
          <w:ilvl w:val="0"/>
          <w:numId w:val="26"/>
        </w:numPr>
        <w:spacing w:line="360" w:lineRule="exact"/>
        <w:ind w:left="357" w:hanging="357"/>
        <w:jc w:val="both"/>
        <w:rPr>
          <w:rFonts w:ascii="Times New Roman" w:hAnsi="Times New Roman"/>
          <w:sz w:val="24"/>
        </w:rPr>
      </w:pPr>
      <w:r w:rsidRPr="00240E07">
        <w:rPr>
          <w:rFonts w:ascii="Times New Roman" w:hAnsi="Times New Roman"/>
          <w:sz w:val="24"/>
        </w:rPr>
        <w:t>Die hybriden Unternehmen sind gemessen am Umsatz- und Beschäftigungswachstum erfolgreicher als</w:t>
      </w:r>
      <w:r w:rsidR="008E1CB9">
        <w:rPr>
          <w:rFonts w:ascii="Times New Roman" w:hAnsi="Times New Roman"/>
          <w:sz w:val="24"/>
        </w:rPr>
        <w:t xml:space="preserve"> die nicht </w:t>
      </w:r>
      <w:r w:rsidRPr="00240E07">
        <w:rPr>
          <w:rFonts w:ascii="Times New Roman" w:hAnsi="Times New Roman"/>
          <w:sz w:val="24"/>
        </w:rPr>
        <w:t>hybr</w:t>
      </w:r>
      <w:r w:rsidR="005A386F">
        <w:rPr>
          <w:rFonts w:ascii="Times New Roman" w:hAnsi="Times New Roman"/>
          <w:sz w:val="24"/>
        </w:rPr>
        <w:t>iden. Die Unternehmen des Typs Standard-Hybrid</w:t>
      </w:r>
      <w:r w:rsidRPr="00240E07">
        <w:rPr>
          <w:rFonts w:ascii="Times New Roman" w:hAnsi="Times New Roman"/>
          <w:sz w:val="24"/>
        </w:rPr>
        <w:t xml:space="preserve"> erre</w:t>
      </w:r>
      <w:r w:rsidRPr="00240E07">
        <w:rPr>
          <w:rFonts w:ascii="Times New Roman" w:hAnsi="Times New Roman"/>
          <w:sz w:val="24"/>
        </w:rPr>
        <w:t>i</w:t>
      </w:r>
      <w:r w:rsidRPr="00240E07">
        <w:rPr>
          <w:rFonts w:ascii="Times New Roman" w:hAnsi="Times New Roman"/>
          <w:sz w:val="24"/>
        </w:rPr>
        <w:t xml:space="preserve">chen einen Erfolgsindex von 105,4 Punkten und die Hybrid-Plus-Unternehmen sogar </w:t>
      </w:r>
      <w:r w:rsidR="007060A3">
        <w:rPr>
          <w:rFonts w:ascii="Times New Roman" w:hAnsi="Times New Roman"/>
          <w:sz w:val="24"/>
        </w:rPr>
        <w:t xml:space="preserve">einen </w:t>
      </w:r>
      <w:r w:rsidRPr="00240E07">
        <w:rPr>
          <w:rFonts w:ascii="Times New Roman" w:hAnsi="Times New Roman"/>
          <w:sz w:val="24"/>
        </w:rPr>
        <w:t>von 107,5 Indexpunkten.</w:t>
      </w:r>
    </w:p>
    <w:p w:rsidR="008166C9" w:rsidRPr="00EF1841" w:rsidRDefault="008166C9" w:rsidP="00240E07">
      <w:pPr>
        <w:spacing w:line="360" w:lineRule="exact"/>
        <w:ind w:left="357" w:hanging="357"/>
        <w:jc w:val="both"/>
        <w:rPr>
          <w:rFonts w:ascii="Times New Roman" w:hAnsi="Times New Roman"/>
          <w:sz w:val="24"/>
        </w:rPr>
      </w:pPr>
      <w:r w:rsidRPr="00EF1841">
        <w:rPr>
          <w:rFonts w:ascii="Times New Roman" w:hAnsi="Times New Roman"/>
          <w:sz w:val="24"/>
        </w:rPr>
        <w:lastRenderedPageBreak/>
        <w:t>•</w:t>
      </w:r>
      <w:r w:rsidRPr="00EF1841">
        <w:rPr>
          <w:rFonts w:ascii="Times New Roman" w:hAnsi="Times New Roman"/>
          <w:sz w:val="24"/>
        </w:rPr>
        <w:tab/>
        <w:t>Die Unterschiede zwis</w:t>
      </w:r>
      <w:r w:rsidR="008E1CB9">
        <w:rPr>
          <w:rFonts w:ascii="Times New Roman" w:hAnsi="Times New Roman"/>
          <w:sz w:val="24"/>
        </w:rPr>
        <w:t xml:space="preserve">chen den hybriden und den nicht </w:t>
      </w:r>
      <w:r w:rsidRPr="00EF1841">
        <w:rPr>
          <w:rFonts w:ascii="Times New Roman" w:hAnsi="Times New Roman"/>
          <w:sz w:val="24"/>
        </w:rPr>
        <w:t xml:space="preserve">hybriden Unternehmen sind statistisch signifikant. </w:t>
      </w:r>
    </w:p>
    <w:p w:rsidR="00CE222F" w:rsidRPr="00240E07" w:rsidRDefault="008166C9" w:rsidP="00240E07">
      <w:pPr>
        <w:pStyle w:val="Listenabsatz"/>
        <w:numPr>
          <w:ilvl w:val="0"/>
          <w:numId w:val="26"/>
        </w:numPr>
        <w:spacing w:line="360" w:lineRule="exact"/>
        <w:ind w:left="357" w:hanging="357"/>
        <w:jc w:val="both"/>
        <w:rPr>
          <w:rFonts w:ascii="Times New Roman" w:hAnsi="Times New Roman"/>
          <w:sz w:val="24"/>
        </w:rPr>
      </w:pPr>
      <w:r w:rsidRPr="00240E07">
        <w:rPr>
          <w:rFonts w:ascii="Times New Roman" w:hAnsi="Times New Roman"/>
          <w:sz w:val="24"/>
        </w:rPr>
        <w:t>Dieser Befund bestätigt sich auch innerhalb der Unt</w:t>
      </w:r>
      <w:r w:rsidR="005A386F">
        <w:rPr>
          <w:rFonts w:ascii="Times New Roman" w:hAnsi="Times New Roman"/>
          <w:sz w:val="24"/>
        </w:rPr>
        <w:t>ernehmensgrößenklassen. I</w:t>
      </w:r>
      <w:r w:rsidRPr="00240E07">
        <w:rPr>
          <w:rFonts w:ascii="Times New Roman" w:hAnsi="Times New Roman"/>
          <w:sz w:val="24"/>
        </w:rPr>
        <w:t xml:space="preserve">n der Umsatzgrößenklasse bis </w:t>
      </w:r>
      <w:r w:rsidR="005A386F">
        <w:rPr>
          <w:rFonts w:ascii="Times New Roman" w:hAnsi="Times New Roman"/>
          <w:sz w:val="24"/>
        </w:rPr>
        <w:t>und</w:t>
      </w:r>
      <w:r w:rsidR="00885DD0">
        <w:rPr>
          <w:rFonts w:ascii="Times New Roman" w:hAnsi="Times New Roman"/>
          <w:sz w:val="24"/>
        </w:rPr>
        <w:t xml:space="preserve"> in der Größenklasse über</w:t>
      </w:r>
      <w:r w:rsidRPr="00240E07">
        <w:rPr>
          <w:rFonts w:ascii="Times New Roman" w:hAnsi="Times New Roman"/>
          <w:sz w:val="24"/>
        </w:rPr>
        <w:t xml:space="preserve"> 10 Millionen Euro Umsatz e</w:t>
      </w:r>
      <w:r w:rsidRPr="00240E07">
        <w:rPr>
          <w:rFonts w:ascii="Times New Roman" w:hAnsi="Times New Roman"/>
          <w:sz w:val="24"/>
        </w:rPr>
        <w:t>r</w:t>
      </w:r>
      <w:r w:rsidRPr="00240E07">
        <w:rPr>
          <w:rFonts w:ascii="Times New Roman" w:hAnsi="Times New Roman"/>
          <w:sz w:val="24"/>
        </w:rPr>
        <w:t>reichen die hybriden Unternehmen einen höheren Punktwert im Erfolgsindex als in den entsprechen</w:t>
      </w:r>
      <w:r w:rsidR="008E1CB9">
        <w:rPr>
          <w:rFonts w:ascii="Times New Roman" w:hAnsi="Times New Roman"/>
          <w:sz w:val="24"/>
        </w:rPr>
        <w:t xml:space="preserve">den Vergleichsgruppen die nicht </w:t>
      </w:r>
      <w:r w:rsidRPr="00240E07">
        <w:rPr>
          <w:rFonts w:ascii="Times New Roman" w:hAnsi="Times New Roman"/>
          <w:sz w:val="24"/>
        </w:rPr>
        <w:t xml:space="preserve">hybriden Unternehmen. </w:t>
      </w:r>
    </w:p>
    <w:p w:rsidR="00EC23B8" w:rsidRDefault="00EC23B8" w:rsidP="003C1B50">
      <w:pPr>
        <w:jc w:val="both"/>
        <w:rPr>
          <w:rFonts w:ascii="Times New Roman" w:hAnsi="Times New Roman"/>
          <w:sz w:val="24"/>
        </w:rPr>
      </w:pPr>
    </w:p>
    <w:p w:rsidR="005A104D" w:rsidRDefault="00C179E5" w:rsidP="00EF1841">
      <w:pPr>
        <w:spacing w:line="360" w:lineRule="exact"/>
        <w:jc w:val="both"/>
        <w:rPr>
          <w:rFonts w:ascii="Times New Roman" w:hAnsi="Times New Roman"/>
          <w:sz w:val="24"/>
        </w:rPr>
      </w:pPr>
      <w:r w:rsidRPr="00EF1841">
        <w:rPr>
          <w:rFonts w:ascii="Times New Roman" w:hAnsi="Times New Roman"/>
          <w:sz w:val="24"/>
        </w:rPr>
        <w:t>Die hier vorgestellten Ergebnisse zur hybriden Wertschöpfung wurden Sensitivitätsanal</w:t>
      </w:r>
      <w:r w:rsidRPr="00EF1841">
        <w:rPr>
          <w:rFonts w:ascii="Times New Roman" w:hAnsi="Times New Roman"/>
          <w:sz w:val="24"/>
        </w:rPr>
        <w:t>y</w:t>
      </w:r>
      <w:r w:rsidRPr="00EF1841">
        <w:rPr>
          <w:rFonts w:ascii="Times New Roman" w:hAnsi="Times New Roman"/>
          <w:sz w:val="24"/>
        </w:rPr>
        <w:t xml:space="preserve">sen unterzogen, </w:t>
      </w:r>
      <w:r w:rsidR="00410C8E" w:rsidRPr="00EF1841">
        <w:rPr>
          <w:rFonts w:ascii="Times New Roman" w:hAnsi="Times New Roman"/>
          <w:sz w:val="24"/>
        </w:rPr>
        <w:t>um deren Robustheit gegenüber Änderungen im Setting zu prü</w:t>
      </w:r>
      <w:r w:rsidR="007060A3">
        <w:rPr>
          <w:rFonts w:ascii="Times New Roman" w:hAnsi="Times New Roman"/>
          <w:sz w:val="24"/>
        </w:rPr>
        <w:t>fen. Dies ist sinnvoll, weil besonders</w:t>
      </w:r>
      <w:r w:rsidR="009B3400">
        <w:rPr>
          <w:rFonts w:ascii="Times New Roman" w:hAnsi="Times New Roman"/>
          <w:sz w:val="24"/>
        </w:rPr>
        <w:t xml:space="preserve"> die Anforderungen an das</w:t>
      </w:r>
      <w:r w:rsidR="00410C8E" w:rsidRPr="00EF1841">
        <w:rPr>
          <w:rFonts w:ascii="Times New Roman" w:hAnsi="Times New Roman"/>
          <w:sz w:val="24"/>
        </w:rPr>
        <w:t xml:space="preserve"> Tätigkeitsprofil heuristisch gestellt wurden.</w:t>
      </w:r>
      <w:r w:rsidR="000A7036">
        <w:rPr>
          <w:rFonts w:ascii="Times New Roman" w:hAnsi="Times New Roman"/>
          <w:sz w:val="24"/>
        </w:rPr>
        <w:t xml:space="preserve"> </w:t>
      </w:r>
      <w:r w:rsidR="00410C8E" w:rsidRPr="00EF1841">
        <w:rPr>
          <w:rFonts w:ascii="Times New Roman" w:hAnsi="Times New Roman"/>
          <w:sz w:val="24"/>
        </w:rPr>
        <w:t>Im Ergebnis lässt sich feststellen, dass a</w:t>
      </w:r>
      <w:r w:rsidR="007060A3">
        <w:rPr>
          <w:rFonts w:ascii="Times New Roman" w:hAnsi="Times New Roman"/>
          <w:sz w:val="24"/>
        </w:rPr>
        <w:t>uch bei gelockerten Annahmen an das</w:t>
      </w:r>
      <w:r w:rsidR="00410C8E" w:rsidRPr="00EF1841">
        <w:rPr>
          <w:rFonts w:ascii="Times New Roman" w:hAnsi="Times New Roman"/>
          <w:sz w:val="24"/>
        </w:rPr>
        <w:t xml:space="preserve"> T</w:t>
      </w:r>
      <w:r w:rsidR="00410C8E" w:rsidRPr="00EF1841">
        <w:rPr>
          <w:rFonts w:ascii="Times New Roman" w:hAnsi="Times New Roman"/>
          <w:sz w:val="24"/>
        </w:rPr>
        <w:t>ä</w:t>
      </w:r>
      <w:r w:rsidR="00410C8E" w:rsidRPr="00EF1841">
        <w:rPr>
          <w:rFonts w:ascii="Times New Roman" w:hAnsi="Times New Roman"/>
          <w:sz w:val="24"/>
        </w:rPr>
        <w:t>tigkeitsprofil und bei einer Unternehmens- statt einer Umsatzgewichtung keine signifika</w:t>
      </w:r>
      <w:r w:rsidR="00410C8E" w:rsidRPr="00EF1841">
        <w:rPr>
          <w:rFonts w:ascii="Times New Roman" w:hAnsi="Times New Roman"/>
          <w:sz w:val="24"/>
        </w:rPr>
        <w:t>n</w:t>
      </w:r>
      <w:r w:rsidR="00410C8E" w:rsidRPr="00EF1841">
        <w:rPr>
          <w:rFonts w:ascii="Times New Roman" w:hAnsi="Times New Roman"/>
          <w:sz w:val="24"/>
        </w:rPr>
        <w:t xml:space="preserve">ten Änderungen in den Berechnungen </w:t>
      </w:r>
      <w:r w:rsidR="0092076A" w:rsidRPr="00EF1841">
        <w:rPr>
          <w:rFonts w:ascii="Times New Roman" w:hAnsi="Times New Roman"/>
          <w:sz w:val="24"/>
        </w:rPr>
        <w:t xml:space="preserve">zu verzeichnen sind. Verbreitung, Merkmale, Hemmnisse, Erfolg und Zukunftsentwicklung von hybriden Geschäftsmodellen weisen keine qualitativen Unterschiede zu den in der Studie verwendeten Analysen auf. </w:t>
      </w:r>
      <w:r w:rsidR="001D3B98" w:rsidRPr="00EF1841">
        <w:rPr>
          <w:rFonts w:ascii="Times New Roman" w:hAnsi="Times New Roman"/>
          <w:sz w:val="24"/>
        </w:rPr>
        <w:t>Insbeso</w:t>
      </w:r>
      <w:r w:rsidR="001D3B98" w:rsidRPr="00EF1841">
        <w:rPr>
          <w:rFonts w:ascii="Times New Roman" w:hAnsi="Times New Roman"/>
          <w:sz w:val="24"/>
        </w:rPr>
        <w:t>n</w:t>
      </w:r>
      <w:r w:rsidR="005A386F">
        <w:rPr>
          <w:rFonts w:ascii="Times New Roman" w:hAnsi="Times New Roman"/>
          <w:sz w:val="24"/>
        </w:rPr>
        <w:t>dere sind die gleich</w:t>
      </w:r>
      <w:r w:rsidR="001D3B98" w:rsidRPr="00EF1841">
        <w:rPr>
          <w:rFonts w:ascii="Times New Roman" w:hAnsi="Times New Roman"/>
          <w:sz w:val="24"/>
        </w:rPr>
        <w:t>laufenden Ergebnisse bei der Unternehmensgewichtung wichtig, da hierdurch impliziert wird, dass keine Größeneffekte d</w:t>
      </w:r>
      <w:r w:rsidR="007060A3">
        <w:rPr>
          <w:rFonts w:ascii="Times New Roman" w:hAnsi="Times New Roman"/>
          <w:sz w:val="24"/>
        </w:rPr>
        <w:t>ie Analysen verzerren. Das zuvor</w:t>
      </w:r>
      <w:r w:rsidR="001D3B98" w:rsidRPr="00EF1841">
        <w:rPr>
          <w:rFonts w:ascii="Times New Roman" w:hAnsi="Times New Roman"/>
          <w:sz w:val="24"/>
        </w:rPr>
        <w:t xml:space="preserve"> vorgestellte Produktkonzept (das umsatzbasiert</w:t>
      </w:r>
      <w:r w:rsidR="007060A3">
        <w:rPr>
          <w:rFonts w:ascii="Times New Roman" w:hAnsi="Times New Roman"/>
          <w:sz w:val="24"/>
        </w:rPr>
        <w:t>e Konzept) wurde ebenfalls mith</w:t>
      </w:r>
      <w:r w:rsidR="001D3B98" w:rsidRPr="00EF1841">
        <w:rPr>
          <w:rFonts w:ascii="Times New Roman" w:hAnsi="Times New Roman"/>
          <w:sz w:val="24"/>
        </w:rPr>
        <w:t>ilfe einer Sensitivitätsanalyse den Er</w:t>
      </w:r>
      <w:r w:rsidR="00CB6E1F">
        <w:rPr>
          <w:rFonts w:ascii="Times New Roman" w:hAnsi="Times New Roman"/>
          <w:sz w:val="24"/>
        </w:rPr>
        <w:t>gebnissen des Tätigkeitskonzept</w:t>
      </w:r>
      <w:r w:rsidR="001D3B98" w:rsidRPr="00EF1841">
        <w:rPr>
          <w:rFonts w:ascii="Times New Roman" w:hAnsi="Times New Roman"/>
          <w:sz w:val="24"/>
        </w:rPr>
        <w:t>s gegenübergestellt. Auch hier bleibt der Befund bestehen, dass die Ergebnisse qualitativ bestätigt werd</w:t>
      </w:r>
      <w:r w:rsidR="00E870EE">
        <w:rPr>
          <w:rFonts w:ascii="Times New Roman" w:hAnsi="Times New Roman"/>
          <w:sz w:val="24"/>
        </w:rPr>
        <w:t>en.</w:t>
      </w:r>
    </w:p>
    <w:p w:rsidR="000978D3" w:rsidRDefault="000978D3" w:rsidP="00EF1841">
      <w:pPr>
        <w:spacing w:line="360" w:lineRule="exact"/>
        <w:jc w:val="both"/>
        <w:rPr>
          <w:rFonts w:ascii="Times New Roman" w:hAnsi="Times New Roman"/>
          <w:sz w:val="24"/>
        </w:rPr>
      </w:pPr>
    </w:p>
    <w:p w:rsidR="00E73522" w:rsidRPr="00A62DEC" w:rsidRDefault="00E73522" w:rsidP="00582C75">
      <w:pPr>
        <w:spacing w:line="360" w:lineRule="exact"/>
        <w:jc w:val="both"/>
        <w:rPr>
          <w:rFonts w:ascii="Times New Roman" w:hAnsi="Times New Roman"/>
          <w:b/>
          <w:sz w:val="28"/>
          <w:szCs w:val="28"/>
        </w:rPr>
      </w:pPr>
      <w:r w:rsidRPr="00A62DEC">
        <w:rPr>
          <w:rFonts w:ascii="Times New Roman" w:hAnsi="Times New Roman"/>
          <w:b/>
          <w:sz w:val="28"/>
          <w:szCs w:val="28"/>
        </w:rPr>
        <w:t>Handlungsoptionen</w:t>
      </w:r>
    </w:p>
    <w:p w:rsidR="001539AC" w:rsidRDefault="00191AA6" w:rsidP="00EF1841">
      <w:pPr>
        <w:spacing w:line="360" w:lineRule="exact"/>
        <w:jc w:val="both"/>
        <w:rPr>
          <w:rFonts w:ascii="Times New Roman" w:hAnsi="Times New Roman"/>
          <w:sz w:val="24"/>
        </w:rPr>
      </w:pPr>
      <w:r w:rsidRPr="00EF1841">
        <w:rPr>
          <w:rFonts w:ascii="Times New Roman" w:hAnsi="Times New Roman"/>
          <w:sz w:val="24"/>
        </w:rPr>
        <w:t xml:space="preserve">Die zentralen Herausforderungen hybrider Geschäftsmodelle liegen bei den Unternehmen selbst, denn nur sie wissen um spezifische Hemmnisse und die Bedürfnisse ihrer Kunden und können mit neuen Geschäftsmodellen überzeugen. </w:t>
      </w:r>
      <w:r w:rsidR="00F97D59" w:rsidRPr="00EF1841">
        <w:rPr>
          <w:rFonts w:ascii="Times New Roman" w:hAnsi="Times New Roman"/>
          <w:sz w:val="24"/>
        </w:rPr>
        <w:t>Unternehmen in einer hybriden Wertschöpfungskette haben z</w:t>
      </w:r>
      <w:r w:rsidR="005A386F">
        <w:rPr>
          <w:rFonts w:ascii="Times New Roman" w:hAnsi="Times New Roman"/>
          <w:sz w:val="24"/>
        </w:rPr>
        <w:t>wei ganz entscheidende Vorteile: zum einen</w:t>
      </w:r>
      <w:r w:rsidR="00F97D59" w:rsidRPr="00EF1841">
        <w:rPr>
          <w:rFonts w:ascii="Times New Roman" w:hAnsi="Times New Roman"/>
          <w:sz w:val="24"/>
        </w:rPr>
        <w:t xml:space="preserve"> auf der Bescha</w:t>
      </w:r>
      <w:r w:rsidR="00F97D59" w:rsidRPr="00EF1841">
        <w:rPr>
          <w:rFonts w:ascii="Times New Roman" w:hAnsi="Times New Roman"/>
          <w:sz w:val="24"/>
        </w:rPr>
        <w:t>f</w:t>
      </w:r>
      <w:r w:rsidR="00F97D59" w:rsidRPr="00EF1841">
        <w:rPr>
          <w:rFonts w:ascii="Times New Roman" w:hAnsi="Times New Roman"/>
          <w:sz w:val="24"/>
        </w:rPr>
        <w:t xml:space="preserve">fungsseite und </w:t>
      </w:r>
      <w:r w:rsidR="005A386F">
        <w:rPr>
          <w:rFonts w:ascii="Times New Roman" w:hAnsi="Times New Roman"/>
          <w:sz w:val="24"/>
        </w:rPr>
        <w:t>zum anderen</w:t>
      </w:r>
      <w:r w:rsidR="00F97D59" w:rsidRPr="00EF1841">
        <w:rPr>
          <w:rFonts w:ascii="Times New Roman" w:hAnsi="Times New Roman"/>
          <w:sz w:val="24"/>
        </w:rPr>
        <w:t xml:space="preserve"> auf der Absatzseite. </w:t>
      </w:r>
      <w:r w:rsidR="006B0320" w:rsidRPr="00EF1841">
        <w:rPr>
          <w:rFonts w:ascii="Times New Roman" w:hAnsi="Times New Roman"/>
          <w:sz w:val="24"/>
        </w:rPr>
        <w:t>Durch die</w:t>
      </w:r>
      <w:r w:rsidR="00F97D59" w:rsidRPr="00EF1841">
        <w:rPr>
          <w:rFonts w:ascii="Times New Roman" w:hAnsi="Times New Roman"/>
          <w:sz w:val="24"/>
        </w:rPr>
        <w:t xml:space="preserve"> Beschaffung</w:t>
      </w:r>
      <w:r w:rsidR="006B0320" w:rsidRPr="00EF1841">
        <w:rPr>
          <w:rFonts w:ascii="Times New Roman" w:hAnsi="Times New Roman"/>
          <w:sz w:val="24"/>
        </w:rPr>
        <w:t xml:space="preserve"> von ganzen Nu</w:t>
      </w:r>
      <w:r w:rsidR="006B0320" w:rsidRPr="00EF1841">
        <w:rPr>
          <w:rFonts w:ascii="Times New Roman" w:hAnsi="Times New Roman"/>
          <w:sz w:val="24"/>
        </w:rPr>
        <w:t>t</w:t>
      </w:r>
      <w:r w:rsidR="006B0320" w:rsidRPr="00EF1841">
        <w:rPr>
          <w:rFonts w:ascii="Times New Roman" w:hAnsi="Times New Roman"/>
          <w:sz w:val="24"/>
        </w:rPr>
        <w:t xml:space="preserve">zenbündeln entfallen Organisations- und Prozessschritte, </w:t>
      </w:r>
      <w:r w:rsidR="007060A3">
        <w:rPr>
          <w:rFonts w:ascii="Times New Roman" w:hAnsi="Times New Roman"/>
          <w:sz w:val="24"/>
        </w:rPr>
        <w:t>sodass</w:t>
      </w:r>
      <w:r w:rsidR="006B0320" w:rsidRPr="00EF1841">
        <w:rPr>
          <w:rFonts w:ascii="Times New Roman" w:hAnsi="Times New Roman"/>
          <w:sz w:val="24"/>
        </w:rPr>
        <w:t xml:space="preserve"> sich die Unternehmen </w:t>
      </w:r>
      <w:r w:rsidR="00F97D59" w:rsidRPr="00EF1841">
        <w:rPr>
          <w:rFonts w:ascii="Times New Roman" w:hAnsi="Times New Roman"/>
          <w:sz w:val="24"/>
        </w:rPr>
        <w:t>in einem noch stärkeren Maß auf ihre Kernkompetenzen konzentrieren</w:t>
      </w:r>
      <w:r w:rsidR="006B0320" w:rsidRPr="00EF1841">
        <w:rPr>
          <w:rFonts w:ascii="Times New Roman" w:hAnsi="Times New Roman"/>
          <w:sz w:val="24"/>
        </w:rPr>
        <w:t xml:space="preserve"> können</w:t>
      </w:r>
      <w:r w:rsidR="00F97D59" w:rsidRPr="00EF1841">
        <w:rPr>
          <w:rFonts w:ascii="Times New Roman" w:hAnsi="Times New Roman"/>
          <w:sz w:val="24"/>
        </w:rPr>
        <w:t>. Auf der A</w:t>
      </w:r>
      <w:r w:rsidR="00F97D59" w:rsidRPr="00EF1841">
        <w:rPr>
          <w:rFonts w:ascii="Times New Roman" w:hAnsi="Times New Roman"/>
          <w:sz w:val="24"/>
        </w:rPr>
        <w:t>b</w:t>
      </w:r>
      <w:r w:rsidR="00F97D59" w:rsidRPr="00EF1841">
        <w:rPr>
          <w:rFonts w:ascii="Times New Roman" w:hAnsi="Times New Roman"/>
          <w:sz w:val="24"/>
        </w:rPr>
        <w:t>satzseite</w:t>
      </w:r>
      <w:r w:rsidR="00307B2C" w:rsidRPr="00EF1841">
        <w:rPr>
          <w:rFonts w:ascii="Times New Roman" w:hAnsi="Times New Roman"/>
          <w:sz w:val="24"/>
        </w:rPr>
        <w:t xml:space="preserve"> steigt die Wettbewerbsfähigkeit, da nun Nutzenbündel angeboten werden können, die </w:t>
      </w:r>
      <w:r w:rsidR="00B31F30">
        <w:rPr>
          <w:rFonts w:ascii="Times New Roman" w:hAnsi="Times New Roman"/>
          <w:sz w:val="24"/>
        </w:rPr>
        <w:t xml:space="preserve">den </w:t>
      </w:r>
      <w:r w:rsidR="00307B2C" w:rsidRPr="00EF1841">
        <w:rPr>
          <w:rFonts w:ascii="Times New Roman" w:hAnsi="Times New Roman"/>
          <w:sz w:val="24"/>
        </w:rPr>
        <w:t xml:space="preserve">abnehmenden Unternehmen ihrerseits wieder Vorteile verschaffen. </w:t>
      </w:r>
      <w:r w:rsidR="00C74385" w:rsidRPr="00EF1841">
        <w:rPr>
          <w:rFonts w:ascii="Times New Roman" w:hAnsi="Times New Roman"/>
          <w:sz w:val="24"/>
        </w:rPr>
        <w:t>Der „Diens</w:t>
      </w:r>
      <w:r w:rsidR="00C74385" w:rsidRPr="00EF1841">
        <w:rPr>
          <w:rFonts w:ascii="Times New Roman" w:hAnsi="Times New Roman"/>
          <w:sz w:val="24"/>
        </w:rPr>
        <w:t>t</w:t>
      </w:r>
      <w:r w:rsidR="00C74385" w:rsidRPr="00EF1841">
        <w:rPr>
          <w:rFonts w:ascii="Times New Roman" w:hAnsi="Times New Roman"/>
          <w:sz w:val="24"/>
        </w:rPr>
        <w:t>leistungsmantel“ schützt das Kernprodukt und erhöht dessen Nut</w:t>
      </w:r>
      <w:r w:rsidR="006B0320" w:rsidRPr="00EF1841">
        <w:rPr>
          <w:rFonts w:ascii="Times New Roman" w:hAnsi="Times New Roman"/>
          <w:sz w:val="24"/>
        </w:rPr>
        <w:t xml:space="preserve">zen, die Konzentration auf die Kernkompetenzen und </w:t>
      </w:r>
      <w:r w:rsidR="009B3400">
        <w:rPr>
          <w:rFonts w:ascii="Times New Roman" w:hAnsi="Times New Roman"/>
          <w:sz w:val="24"/>
        </w:rPr>
        <w:t xml:space="preserve">die </w:t>
      </w:r>
      <w:r w:rsidR="006B0320" w:rsidRPr="00EF1841">
        <w:rPr>
          <w:rFonts w:ascii="Times New Roman" w:hAnsi="Times New Roman"/>
          <w:sz w:val="24"/>
        </w:rPr>
        <w:t>direkt damit verbundene</w:t>
      </w:r>
      <w:r w:rsidR="009B3400">
        <w:rPr>
          <w:rFonts w:ascii="Times New Roman" w:hAnsi="Times New Roman"/>
          <w:sz w:val="24"/>
        </w:rPr>
        <w:t>n Tätigkeiten e</w:t>
      </w:r>
      <w:r w:rsidR="00B31F30">
        <w:rPr>
          <w:rFonts w:ascii="Times New Roman" w:hAnsi="Times New Roman"/>
          <w:sz w:val="24"/>
        </w:rPr>
        <w:t>rhöht</w:t>
      </w:r>
      <w:r w:rsidR="006B0320" w:rsidRPr="00EF1841">
        <w:rPr>
          <w:rFonts w:ascii="Times New Roman" w:hAnsi="Times New Roman"/>
          <w:sz w:val="24"/>
        </w:rPr>
        <w:t xml:space="preserve"> das spezifische Wissen.</w:t>
      </w:r>
      <w:r w:rsidR="00C74385" w:rsidRPr="00EF1841">
        <w:rPr>
          <w:rFonts w:ascii="Times New Roman" w:hAnsi="Times New Roman"/>
          <w:sz w:val="24"/>
        </w:rPr>
        <w:t xml:space="preserve"> </w:t>
      </w:r>
      <w:r w:rsidR="00E77DE3" w:rsidRPr="00EF1841">
        <w:rPr>
          <w:rFonts w:ascii="Times New Roman" w:hAnsi="Times New Roman"/>
          <w:sz w:val="24"/>
        </w:rPr>
        <w:t xml:space="preserve">Durch eine stärkere Kundenbindung </w:t>
      </w:r>
      <w:r w:rsidR="006B0320" w:rsidRPr="00EF1841">
        <w:rPr>
          <w:rFonts w:ascii="Times New Roman" w:hAnsi="Times New Roman"/>
          <w:sz w:val="24"/>
        </w:rPr>
        <w:t>wird</w:t>
      </w:r>
      <w:r w:rsidR="00E77DE3" w:rsidRPr="00EF1841">
        <w:rPr>
          <w:rFonts w:ascii="Times New Roman" w:hAnsi="Times New Roman"/>
          <w:sz w:val="24"/>
        </w:rPr>
        <w:t xml:space="preserve"> zusätzlich das Innovationspotenzial des hybriden Unternehmens</w:t>
      </w:r>
      <w:r w:rsidR="006B0320" w:rsidRPr="00EF1841">
        <w:rPr>
          <w:rFonts w:ascii="Times New Roman" w:hAnsi="Times New Roman"/>
          <w:sz w:val="24"/>
        </w:rPr>
        <w:t xml:space="preserve"> gestärkt</w:t>
      </w:r>
      <w:r w:rsidR="00E77DE3" w:rsidRPr="00EF1841">
        <w:rPr>
          <w:rFonts w:ascii="Times New Roman" w:hAnsi="Times New Roman"/>
          <w:sz w:val="24"/>
        </w:rPr>
        <w:t xml:space="preserve"> aufgrund von häufigeren und spezifischeren Kundeni</w:t>
      </w:r>
      <w:r w:rsidR="00E77DE3" w:rsidRPr="00EF1841">
        <w:rPr>
          <w:rFonts w:ascii="Times New Roman" w:hAnsi="Times New Roman"/>
          <w:sz w:val="24"/>
        </w:rPr>
        <w:t>m</w:t>
      </w:r>
      <w:r w:rsidR="00E77DE3" w:rsidRPr="00EF1841">
        <w:rPr>
          <w:rFonts w:ascii="Times New Roman" w:hAnsi="Times New Roman"/>
          <w:sz w:val="24"/>
        </w:rPr>
        <w:t>pulsen.</w:t>
      </w:r>
      <w:r w:rsidR="00BA3747">
        <w:rPr>
          <w:rFonts w:ascii="Times New Roman" w:hAnsi="Times New Roman"/>
          <w:sz w:val="24"/>
        </w:rPr>
        <w:t xml:space="preserve"> </w:t>
      </w:r>
      <w:r w:rsidR="0058731C" w:rsidRPr="00EF1841">
        <w:rPr>
          <w:rFonts w:ascii="Times New Roman" w:hAnsi="Times New Roman"/>
          <w:sz w:val="24"/>
        </w:rPr>
        <w:t>Kleine und mittelständische Unternehmen erhalten durch die hybride Wertschö</w:t>
      </w:r>
      <w:r w:rsidR="0058731C" w:rsidRPr="00EF1841">
        <w:rPr>
          <w:rFonts w:ascii="Times New Roman" w:hAnsi="Times New Roman"/>
          <w:sz w:val="24"/>
        </w:rPr>
        <w:t>p</w:t>
      </w:r>
      <w:r w:rsidR="0058731C" w:rsidRPr="00EF1841">
        <w:rPr>
          <w:rFonts w:ascii="Times New Roman" w:hAnsi="Times New Roman"/>
          <w:sz w:val="24"/>
        </w:rPr>
        <w:t xml:space="preserve">fung eine Möglichkeit, in Kooperationen Nutzenbündel zu entwickeln und neue Märkte </w:t>
      </w:r>
      <w:r w:rsidR="0058731C" w:rsidRPr="00EF1841">
        <w:rPr>
          <w:rFonts w:ascii="Times New Roman" w:hAnsi="Times New Roman"/>
          <w:sz w:val="24"/>
        </w:rPr>
        <w:lastRenderedPageBreak/>
        <w:t>und Kunden zu erschließen</w:t>
      </w:r>
      <w:r w:rsidR="00EB55D8" w:rsidRPr="00EF1841">
        <w:rPr>
          <w:rFonts w:ascii="Times New Roman" w:hAnsi="Times New Roman"/>
          <w:sz w:val="24"/>
        </w:rPr>
        <w:t>, beispielsweise</w:t>
      </w:r>
      <w:r w:rsidR="005A386F">
        <w:rPr>
          <w:rFonts w:ascii="Times New Roman" w:hAnsi="Times New Roman"/>
          <w:sz w:val="24"/>
        </w:rPr>
        <w:t>,</w:t>
      </w:r>
      <w:r w:rsidR="00EB55D8" w:rsidRPr="00EF1841">
        <w:rPr>
          <w:rFonts w:ascii="Times New Roman" w:hAnsi="Times New Roman"/>
          <w:sz w:val="24"/>
        </w:rPr>
        <w:t xml:space="preserve"> indem sie mit auslandserfahrenen Unterne</w:t>
      </w:r>
      <w:r w:rsidR="00EB55D8" w:rsidRPr="00EF1841">
        <w:rPr>
          <w:rFonts w:ascii="Times New Roman" w:hAnsi="Times New Roman"/>
          <w:sz w:val="24"/>
        </w:rPr>
        <w:t>h</w:t>
      </w:r>
      <w:r w:rsidR="00EB55D8" w:rsidRPr="00EF1841">
        <w:rPr>
          <w:rFonts w:ascii="Times New Roman" w:hAnsi="Times New Roman"/>
          <w:sz w:val="24"/>
        </w:rPr>
        <w:t>men koope</w:t>
      </w:r>
      <w:r w:rsidR="001D3AA2">
        <w:rPr>
          <w:rFonts w:ascii="Times New Roman" w:hAnsi="Times New Roman"/>
          <w:sz w:val="24"/>
        </w:rPr>
        <w:t>rieren.</w:t>
      </w:r>
    </w:p>
    <w:p w:rsidR="001D3AA2" w:rsidRPr="00EF1841" w:rsidRDefault="001D3AA2" w:rsidP="00EF1841">
      <w:pPr>
        <w:spacing w:line="360" w:lineRule="exact"/>
        <w:jc w:val="both"/>
        <w:rPr>
          <w:rFonts w:ascii="Times New Roman" w:hAnsi="Times New Roman"/>
          <w:sz w:val="24"/>
        </w:rPr>
      </w:pPr>
    </w:p>
    <w:p w:rsidR="00C133ED" w:rsidRPr="00EF1841" w:rsidRDefault="008E124C" w:rsidP="00EF1841">
      <w:pPr>
        <w:spacing w:line="360" w:lineRule="exact"/>
        <w:jc w:val="both"/>
        <w:rPr>
          <w:rFonts w:ascii="Times New Roman" w:hAnsi="Times New Roman"/>
          <w:sz w:val="24"/>
        </w:rPr>
      </w:pPr>
      <w:r w:rsidRPr="00EF1841">
        <w:rPr>
          <w:rFonts w:ascii="Times New Roman" w:hAnsi="Times New Roman"/>
          <w:sz w:val="24"/>
        </w:rPr>
        <w:t>Neben den Handlungsoptionen für Unternehmen ist die Politik angehalten, möglichst o</w:t>
      </w:r>
      <w:r w:rsidRPr="00EF1841">
        <w:rPr>
          <w:rFonts w:ascii="Times New Roman" w:hAnsi="Times New Roman"/>
          <w:sz w:val="24"/>
        </w:rPr>
        <w:t>p</w:t>
      </w:r>
      <w:r w:rsidRPr="00EF1841">
        <w:rPr>
          <w:rFonts w:ascii="Times New Roman" w:hAnsi="Times New Roman"/>
          <w:sz w:val="24"/>
        </w:rPr>
        <w:t>timale Rahmenbedingungen zu schaffen, um den Übergang zu hybriden Ge</w:t>
      </w:r>
      <w:r w:rsidR="007060A3">
        <w:rPr>
          <w:rFonts w:ascii="Times New Roman" w:hAnsi="Times New Roman"/>
          <w:sz w:val="24"/>
        </w:rPr>
        <w:t>schäftsmode</w:t>
      </w:r>
      <w:r w:rsidR="007060A3">
        <w:rPr>
          <w:rFonts w:ascii="Times New Roman" w:hAnsi="Times New Roman"/>
          <w:sz w:val="24"/>
        </w:rPr>
        <w:t>l</w:t>
      </w:r>
      <w:r w:rsidR="007060A3">
        <w:rPr>
          <w:rFonts w:ascii="Times New Roman" w:hAnsi="Times New Roman"/>
          <w:sz w:val="24"/>
        </w:rPr>
        <w:t>len zu erleichtern:</w:t>
      </w:r>
    </w:p>
    <w:p w:rsidR="008E124C" w:rsidRPr="00EF1841" w:rsidRDefault="008E124C" w:rsidP="00EF1841">
      <w:pPr>
        <w:spacing w:line="360" w:lineRule="exact"/>
        <w:jc w:val="both"/>
        <w:rPr>
          <w:rFonts w:ascii="Times New Roman" w:hAnsi="Times New Roman"/>
          <w:sz w:val="24"/>
        </w:rPr>
      </w:pPr>
      <w:r w:rsidRPr="00582C75">
        <w:rPr>
          <w:rFonts w:ascii="Times New Roman" w:hAnsi="Times New Roman"/>
          <w:b/>
          <w:sz w:val="24"/>
        </w:rPr>
        <w:t>Grundvoraussetzung</w:t>
      </w:r>
      <w:r w:rsidRPr="00EF1841">
        <w:rPr>
          <w:rFonts w:ascii="Times New Roman" w:hAnsi="Times New Roman"/>
          <w:sz w:val="24"/>
        </w:rPr>
        <w:t>: Im Kern industrieller Wertschöpfungsketten steht die Industrie. Die klassische horizontale Industriepolitik, die die Standortbedingungen und die Er-folgsfaktoren stärkt, ist eine Grundvoraussetzung für alles Folgende. Damit Unternehmen erfolgreich wirtschaften können, müssen infrastrukturelle Rahmenbedingungen erfüllt sein. Ohne eine leistungsfähige Straßen- und Dateninfrastruktur können industrielle Unterne</w:t>
      </w:r>
      <w:r w:rsidRPr="00EF1841">
        <w:rPr>
          <w:rFonts w:ascii="Times New Roman" w:hAnsi="Times New Roman"/>
          <w:sz w:val="24"/>
        </w:rPr>
        <w:t>h</w:t>
      </w:r>
      <w:r w:rsidRPr="00EF1841">
        <w:rPr>
          <w:rFonts w:ascii="Times New Roman" w:hAnsi="Times New Roman"/>
          <w:sz w:val="24"/>
        </w:rPr>
        <w:t>men nicht wettbewerbsfähig im Globalisierungsprozess bestehen.</w:t>
      </w:r>
    </w:p>
    <w:p w:rsidR="008E124C" w:rsidRPr="00EF1841" w:rsidRDefault="008E124C" w:rsidP="00EF1841">
      <w:pPr>
        <w:spacing w:line="360" w:lineRule="exact"/>
        <w:jc w:val="both"/>
        <w:rPr>
          <w:rFonts w:ascii="Times New Roman" w:hAnsi="Times New Roman"/>
          <w:sz w:val="24"/>
        </w:rPr>
      </w:pPr>
      <w:r w:rsidRPr="00582C75">
        <w:rPr>
          <w:rFonts w:ascii="Times New Roman" w:hAnsi="Times New Roman"/>
          <w:b/>
          <w:sz w:val="24"/>
        </w:rPr>
        <w:t>Netzwerke</w:t>
      </w:r>
      <w:r w:rsidRPr="00EF1841">
        <w:rPr>
          <w:rFonts w:ascii="Times New Roman" w:hAnsi="Times New Roman"/>
          <w:sz w:val="24"/>
        </w:rPr>
        <w:t xml:space="preserve">: Die vielfältigen Tätigkeiten entlang von Wertschöpfungsketten vieler Unter-nehmen sind nur im Verbund mit anderen zu schaffen. Das gilt vor allem für kleine und mittelständische Unternehmen. Der Schaffung und Unterstützung von Netzwerkstrukturen kommt daher eine besondere Bedeutung zu. </w:t>
      </w:r>
    </w:p>
    <w:p w:rsidR="00A50E32" w:rsidRPr="00EF1841" w:rsidRDefault="008E124C" w:rsidP="00A50E32">
      <w:pPr>
        <w:spacing w:line="360" w:lineRule="exact"/>
        <w:jc w:val="both"/>
        <w:rPr>
          <w:rFonts w:ascii="Times New Roman" w:hAnsi="Times New Roman"/>
          <w:sz w:val="24"/>
        </w:rPr>
      </w:pPr>
      <w:r w:rsidRPr="00582C75">
        <w:rPr>
          <w:rFonts w:ascii="Times New Roman" w:hAnsi="Times New Roman"/>
          <w:b/>
          <w:sz w:val="24"/>
        </w:rPr>
        <w:t>Plattformen</w:t>
      </w:r>
      <w:r w:rsidRPr="00EF1841">
        <w:rPr>
          <w:rFonts w:ascii="Times New Roman" w:hAnsi="Times New Roman"/>
          <w:sz w:val="24"/>
        </w:rPr>
        <w:t xml:space="preserve">: Hybride Geschäftsmodelle sind IT-intensiv. </w:t>
      </w:r>
      <w:r w:rsidR="005A386F">
        <w:rPr>
          <w:rFonts w:ascii="Times New Roman" w:hAnsi="Times New Roman"/>
          <w:sz w:val="24"/>
        </w:rPr>
        <w:t>Vor allem</w:t>
      </w:r>
      <w:r w:rsidRPr="00EF1841">
        <w:rPr>
          <w:rFonts w:ascii="Times New Roman" w:hAnsi="Times New Roman"/>
          <w:sz w:val="24"/>
        </w:rPr>
        <w:t xml:space="preserve"> leistungsfähige onl</w:t>
      </w:r>
      <w:r w:rsidRPr="00EF1841">
        <w:rPr>
          <w:rFonts w:ascii="Times New Roman" w:hAnsi="Times New Roman"/>
          <w:sz w:val="24"/>
        </w:rPr>
        <w:t>i</w:t>
      </w:r>
      <w:r w:rsidRPr="00EF1841">
        <w:rPr>
          <w:rFonts w:ascii="Times New Roman" w:hAnsi="Times New Roman"/>
          <w:sz w:val="24"/>
        </w:rPr>
        <w:t>nebasierte Plattformen werden wichtiger werden, weil Anbieter- und Kundensysteme he</w:t>
      </w:r>
      <w:r w:rsidRPr="00EF1841">
        <w:rPr>
          <w:rFonts w:ascii="Times New Roman" w:hAnsi="Times New Roman"/>
          <w:sz w:val="24"/>
        </w:rPr>
        <w:t>r</w:t>
      </w:r>
      <w:r w:rsidRPr="00EF1841">
        <w:rPr>
          <w:rFonts w:ascii="Times New Roman" w:hAnsi="Times New Roman"/>
          <w:sz w:val="24"/>
        </w:rPr>
        <w:t xml:space="preserve">stellerübergreifend interagieren müssen. Der Schlüssel dafür ist Interoperabilität, das heißt das Zusammenwirken unterschiedlicher Systeme. </w:t>
      </w:r>
    </w:p>
    <w:p w:rsidR="008E124C" w:rsidRPr="00EF1841" w:rsidRDefault="00A50E32" w:rsidP="00EF1841">
      <w:pPr>
        <w:spacing w:line="360" w:lineRule="exact"/>
        <w:jc w:val="both"/>
        <w:rPr>
          <w:rFonts w:ascii="Times New Roman" w:hAnsi="Times New Roman"/>
          <w:sz w:val="24"/>
        </w:rPr>
      </w:pPr>
      <w:r w:rsidRPr="00582C75">
        <w:rPr>
          <w:rFonts w:ascii="Times New Roman" w:hAnsi="Times New Roman"/>
          <w:b/>
          <w:sz w:val="24"/>
        </w:rPr>
        <w:t>Innovationspolitik</w:t>
      </w:r>
      <w:r w:rsidRPr="00EF1841">
        <w:rPr>
          <w:rFonts w:ascii="Times New Roman" w:hAnsi="Times New Roman"/>
          <w:sz w:val="24"/>
        </w:rPr>
        <w:t>: Dienstleistungen werden in Zukunft als Quelle für Innovationen w</w:t>
      </w:r>
      <w:r w:rsidRPr="00EF1841">
        <w:rPr>
          <w:rFonts w:ascii="Times New Roman" w:hAnsi="Times New Roman"/>
          <w:sz w:val="24"/>
        </w:rPr>
        <w:t>e</w:t>
      </w:r>
      <w:r w:rsidRPr="00EF1841">
        <w:rPr>
          <w:rFonts w:ascii="Times New Roman" w:hAnsi="Times New Roman"/>
          <w:sz w:val="24"/>
        </w:rPr>
        <w:t xml:space="preserve">sentlich </w:t>
      </w:r>
      <w:r w:rsidR="005A386F">
        <w:rPr>
          <w:rFonts w:ascii="Times New Roman" w:hAnsi="Times New Roman"/>
          <w:sz w:val="24"/>
        </w:rPr>
        <w:t>bedeutender</w:t>
      </w:r>
      <w:r w:rsidRPr="00EF1841">
        <w:rPr>
          <w:rFonts w:ascii="Times New Roman" w:hAnsi="Times New Roman"/>
          <w:sz w:val="24"/>
        </w:rPr>
        <w:t>. Deshalb ist ihnen im Rahmen der Innovationspolitik ein besonderer Stellenwert einzuräumen.</w:t>
      </w:r>
    </w:p>
    <w:p w:rsidR="008E124C" w:rsidRDefault="008E124C" w:rsidP="00EF1841">
      <w:pPr>
        <w:spacing w:line="360" w:lineRule="exact"/>
        <w:jc w:val="both"/>
        <w:rPr>
          <w:rFonts w:ascii="Times New Roman" w:hAnsi="Times New Roman"/>
          <w:sz w:val="24"/>
        </w:rPr>
      </w:pPr>
      <w:r w:rsidRPr="00582C75">
        <w:rPr>
          <w:rFonts w:ascii="Times New Roman" w:hAnsi="Times New Roman"/>
          <w:b/>
          <w:sz w:val="24"/>
        </w:rPr>
        <w:t>Qualifikationen und Kompetenzen</w:t>
      </w:r>
      <w:r w:rsidRPr="00EF1841">
        <w:rPr>
          <w:rFonts w:ascii="Times New Roman" w:hAnsi="Times New Roman"/>
          <w:sz w:val="24"/>
        </w:rPr>
        <w:t xml:space="preserve">: Die Arbeitswelt wird sich noch nachhaltiger ändern, weil sich </w:t>
      </w:r>
      <w:r w:rsidR="009B3400">
        <w:rPr>
          <w:rFonts w:ascii="Times New Roman" w:hAnsi="Times New Roman"/>
          <w:sz w:val="24"/>
        </w:rPr>
        <w:t>wichtige</w:t>
      </w:r>
      <w:r w:rsidRPr="00EF1841">
        <w:rPr>
          <w:rFonts w:ascii="Times New Roman" w:hAnsi="Times New Roman"/>
          <w:sz w:val="24"/>
        </w:rPr>
        <w:t xml:space="preserve"> Trends beschleunigen. Die Bearbeitung kompletter Wertschöpfungs</w:t>
      </w:r>
      <w:r w:rsidR="007060A3">
        <w:rPr>
          <w:rFonts w:ascii="Times New Roman" w:hAnsi="Times New Roman"/>
          <w:sz w:val="24"/>
        </w:rPr>
        <w:t>ke</w:t>
      </w:r>
      <w:r w:rsidR="007060A3">
        <w:rPr>
          <w:rFonts w:ascii="Times New Roman" w:hAnsi="Times New Roman"/>
          <w:sz w:val="24"/>
        </w:rPr>
        <w:t>t</w:t>
      </w:r>
      <w:r w:rsidR="007060A3">
        <w:rPr>
          <w:rFonts w:ascii="Times New Roman" w:hAnsi="Times New Roman"/>
          <w:sz w:val="24"/>
        </w:rPr>
        <w:t>ten in Real-t</w:t>
      </w:r>
      <w:r w:rsidRPr="00EF1841">
        <w:rPr>
          <w:rFonts w:ascii="Times New Roman" w:hAnsi="Times New Roman"/>
          <w:sz w:val="24"/>
        </w:rPr>
        <w:t xml:space="preserve">ime-Geschäftsmodellen erfordert breite Kompetenzen, hohe Qualifikationen und sehr flexible Strukturen. Diese Anforderungen sind in der Bildungspolitik insgesamt, </w:t>
      </w:r>
      <w:r w:rsidR="007060A3">
        <w:rPr>
          <w:rFonts w:ascii="Times New Roman" w:hAnsi="Times New Roman"/>
          <w:sz w:val="24"/>
        </w:rPr>
        <w:t>vor allem</w:t>
      </w:r>
      <w:r w:rsidRPr="00EF1841">
        <w:rPr>
          <w:rFonts w:ascii="Times New Roman" w:hAnsi="Times New Roman"/>
          <w:sz w:val="24"/>
        </w:rPr>
        <w:t xml:space="preserve"> im Bereich der Aus- und Weiterbildung</w:t>
      </w:r>
      <w:r w:rsidR="009B3400">
        <w:rPr>
          <w:rFonts w:ascii="Times New Roman" w:hAnsi="Times New Roman"/>
          <w:sz w:val="24"/>
        </w:rPr>
        <w:t>,</w:t>
      </w:r>
      <w:r w:rsidRPr="00EF1841">
        <w:rPr>
          <w:rFonts w:ascii="Times New Roman" w:hAnsi="Times New Roman"/>
          <w:sz w:val="24"/>
        </w:rPr>
        <w:t xml:space="preserve"> zu beachten. Die Hochschulen sollten dem Querschnittscharakter hybrider</w:t>
      </w:r>
      <w:r w:rsidR="007060A3">
        <w:rPr>
          <w:rFonts w:ascii="Times New Roman" w:hAnsi="Times New Roman"/>
          <w:sz w:val="24"/>
        </w:rPr>
        <w:t xml:space="preserve"> Wertschöpfung durch offene Lehrpläne </w:t>
      </w:r>
      <w:r w:rsidRPr="00EF1841">
        <w:rPr>
          <w:rFonts w:ascii="Times New Roman" w:hAnsi="Times New Roman"/>
          <w:sz w:val="24"/>
        </w:rPr>
        <w:t>Rechnung tr</w:t>
      </w:r>
      <w:r w:rsidRPr="00EF1841">
        <w:rPr>
          <w:rFonts w:ascii="Times New Roman" w:hAnsi="Times New Roman"/>
          <w:sz w:val="24"/>
        </w:rPr>
        <w:t>a</w:t>
      </w:r>
      <w:r w:rsidRPr="00EF1841">
        <w:rPr>
          <w:rFonts w:ascii="Times New Roman" w:hAnsi="Times New Roman"/>
          <w:sz w:val="24"/>
        </w:rPr>
        <w:t>gen. Interdisziplinäre Stu</w:t>
      </w:r>
      <w:r w:rsidR="00EB0854" w:rsidRPr="00EF1841">
        <w:rPr>
          <w:rFonts w:ascii="Times New Roman" w:hAnsi="Times New Roman"/>
          <w:sz w:val="24"/>
        </w:rPr>
        <w:t>diengänge für Ingenieure, Infor</w:t>
      </w:r>
      <w:r w:rsidRPr="00EF1841">
        <w:rPr>
          <w:rFonts w:ascii="Times New Roman" w:hAnsi="Times New Roman"/>
          <w:sz w:val="24"/>
        </w:rPr>
        <w:t>matiker, Betriebswirte und Juri</w:t>
      </w:r>
      <w:r w:rsidRPr="00EF1841">
        <w:rPr>
          <w:rFonts w:ascii="Times New Roman" w:hAnsi="Times New Roman"/>
          <w:sz w:val="24"/>
        </w:rPr>
        <w:t>s</w:t>
      </w:r>
      <w:r w:rsidRPr="00EF1841">
        <w:rPr>
          <w:rFonts w:ascii="Times New Roman" w:hAnsi="Times New Roman"/>
          <w:sz w:val="24"/>
        </w:rPr>
        <w:t>ten würden für ein tiefes Verständnis ganzheitlicher Rahmenbedingungen hybrider Wer</w:t>
      </w:r>
      <w:r w:rsidRPr="00EF1841">
        <w:rPr>
          <w:rFonts w:ascii="Times New Roman" w:hAnsi="Times New Roman"/>
          <w:sz w:val="24"/>
        </w:rPr>
        <w:t>t</w:t>
      </w:r>
      <w:r w:rsidRPr="00EF1841">
        <w:rPr>
          <w:rFonts w:ascii="Times New Roman" w:hAnsi="Times New Roman"/>
          <w:sz w:val="24"/>
        </w:rPr>
        <w:t>schöpfung sorgen. Gleichzeitig sind grundlegende Änderungen in der Gestaltung der A</w:t>
      </w:r>
      <w:r w:rsidRPr="00EF1841">
        <w:rPr>
          <w:rFonts w:ascii="Times New Roman" w:hAnsi="Times New Roman"/>
          <w:sz w:val="24"/>
        </w:rPr>
        <w:t>r</w:t>
      </w:r>
      <w:r w:rsidRPr="00EF1841">
        <w:rPr>
          <w:rFonts w:ascii="Times New Roman" w:hAnsi="Times New Roman"/>
          <w:sz w:val="24"/>
        </w:rPr>
        <w:t>beitsorga</w:t>
      </w:r>
      <w:r w:rsidR="009B3400">
        <w:rPr>
          <w:rFonts w:ascii="Times New Roman" w:hAnsi="Times New Roman"/>
          <w:sz w:val="24"/>
        </w:rPr>
        <w:t>nisation und den Arbeits</w:t>
      </w:r>
      <w:r w:rsidRPr="00EF1841">
        <w:rPr>
          <w:rFonts w:ascii="Times New Roman" w:hAnsi="Times New Roman"/>
          <w:sz w:val="24"/>
        </w:rPr>
        <w:t>beziehungen in den Unternehmen zu beachten.</w:t>
      </w:r>
    </w:p>
    <w:p w:rsidR="00E062B2" w:rsidRDefault="00E062B2" w:rsidP="00E062B2">
      <w:pPr>
        <w:spacing w:line="360" w:lineRule="exact"/>
        <w:jc w:val="both"/>
        <w:rPr>
          <w:rFonts w:ascii="Times New Roman" w:hAnsi="Times New Roman"/>
          <w:sz w:val="24"/>
        </w:rPr>
      </w:pPr>
    </w:p>
    <w:p w:rsidR="00E062B2" w:rsidRDefault="00E062B2" w:rsidP="00E062B2">
      <w:pPr>
        <w:spacing w:line="360" w:lineRule="exact"/>
        <w:jc w:val="both"/>
        <w:rPr>
          <w:rFonts w:ascii="Times New Roman" w:hAnsi="Times New Roman"/>
          <w:sz w:val="24"/>
        </w:rPr>
      </w:pPr>
    </w:p>
    <w:p w:rsidR="00E062B2" w:rsidRPr="00EF1841" w:rsidRDefault="00E062B2" w:rsidP="00EF1841">
      <w:pPr>
        <w:spacing w:line="360" w:lineRule="exact"/>
        <w:jc w:val="both"/>
        <w:rPr>
          <w:rFonts w:ascii="Times New Roman" w:hAnsi="Times New Roman"/>
          <w:sz w:val="24"/>
        </w:rPr>
      </w:pPr>
    </w:p>
    <w:p w:rsidR="00397675" w:rsidRDefault="00397675">
      <w:pPr>
        <w:rPr>
          <w:rFonts w:ascii="Times New Roman" w:hAnsi="Times New Roman"/>
          <w:b/>
          <w:sz w:val="24"/>
        </w:rPr>
      </w:pPr>
      <w:r>
        <w:rPr>
          <w:rFonts w:ascii="Times New Roman" w:hAnsi="Times New Roman"/>
          <w:b/>
          <w:sz w:val="24"/>
        </w:rPr>
        <w:br w:type="page"/>
      </w:r>
    </w:p>
    <w:p w:rsidR="00E870EE" w:rsidRDefault="00E870EE" w:rsidP="00E870EE">
      <w:pPr>
        <w:jc w:val="both"/>
        <w:rPr>
          <w:rFonts w:ascii="Times New Roman" w:hAnsi="Times New Roman"/>
          <w:b/>
          <w:sz w:val="24"/>
        </w:rPr>
      </w:pPr>
      <w:r>
        <w:rPr>
          <w:rFonts w:ascii="Times New Roman" w:hAnsi="Times New Roman"/>
          <w:b/>
          <w:sz w:val="24"/>
        </w:rPr>
        <w:lastRenderedPageBreak/>
        <w:t>Literatur</w:t>
      </w:r>
    </w:p>
    <w:p w:rsidR="00E870EE" w:rsidRPr="00B31F30" w:rsidRDefault="00E870EE" w:rsidP="00E870EE">
      <w:pPr>
        <w:ind w:left="284" w:hanging="284"/>
        <w:jc w:val="both"/>
        <w:rPr>
          <w:rFonts w:ascii="Times New Roman" w:hAnsi="Times New Roman"/>
        </w:rPr>
      </w:pPr>
    </w:p>
    <w:p w:rsidR="00237AC4" w:rsidRPr="00237AC4" w:rsidRDefault="00237AC4" w:rsidP="00237AC4">
      <w:pPr>
        <w:shd w:val="clear" w:color="auto" w:fill="FFFFFF" w:themeFill="background1"/>
        <w:jc w:val="both"/>
        <w:rPr>
          <w:rFonts w:ascii="Times New Roman" w:hAnsi="Times New Roman"/>
        </w:rPr>
      </w:pPr>
      <w:r w:rsidRPr="00237AC4">
        <w:rPr>
          <w:rFonts w:ascii="Times New Roman" w:hAnsi="Times New Roman"/>
        </w:rPr>
        <w:t>Ahlert, Dieter / Hesse, Josef / Kruse, Philipp / Kawohl, Julian, 2008, „Transolve“ – Transformationsprozess vom Produzent zum Solution Seller am Beispiel des KMU „Schäper Sportgerätebau GmbH“ – Mögliche O</w:t>
      </w:r>
      <w:r w:rsidRPr="00237AC4">
        <w:rPr>
          <w:rFonts w:ascii="Times New Roman" w:hAnsi="Times New Roman"/>
        </w:rPr>
        <w:t>p</w:t>
      </w:r>
      <w:r w:rsidRPr="00237AC4">
        <w:rPr>
          <w:rFonts w:ascii="Times New Roman" w:hAnsi="Times New Roman"/>
        </w:rPr>
        <w:t>tionen für KMU, Projektbericht Nr. 2, Münster</w:t>
      </w:r>
    </w:p>
    <w:p w:rsidR="00237AC4" w:rsidRPr="00237AC4" w:rsidRDefault="00237AC4" w:rsidP="00237AC4">
      <w:pPr>
        <w:shd w:val="clear" w:color="auto" w:fill="FFFFFF" w:themeFill="background1"/>
        <w:jc w:val="both"/>
        <w:rPr>
          <w:rFonts w:ascii="Times New Roman" w:hAnsi="Times New Roman"/>
        </w:rPr>
      </w:pPr>
    </w:p>
    <w:p w:rsidR="00237AC4" w:rsidRPr="00237AC4" w:rsidRDefault="00237AC4" w:rsidP="00237AC4">
      <w:pPr>
        <w:shd w:val="clear" w:color="auto" w:fill="FFFFFF" w:themeFill="background1"/>
        <w:jc w:val="both"/>
        <w:rPr>
          <w:rFonts w:ascii="Times New Roman" w:hAnsi="Times New Roman"/>
        </w:rPr>
      </w:pPr>
      <w:r w:rsidRPr="00237AC4">
        <w:rPr>
          <w:rFonts w:ascii="Times New Roman" w:hAnsi="Times New Roman"/>
        </w:rPr>
        <w:t>Burianek, Ferdinand / Ihl, Christoph / Reichwald, Ralf, 2007, Vertragsgestaltung im Kontext hybrider Wer</w:t>
      </w:r>
      <w:r w:rsidRPr="00237AC4">
        <w:rPr>
          <w:rFonts w:ascii="Times New Roman" w:hAnsi="Times New Roman"/>
        </w:rPr>
        <w:t>t</w:t>
      </w:r>
      <w:r w:rsidRPr="00237AC4">
        <w:rPr>
          <w:rFonts w:ascii="Times New Roman" w:hAnsi="Times New Roman"/>
        </w:rPr>
        <w:t>schöpfung, Arbeitsbericht Nr. 02/2007 des Lehrstuhl</w:t>
      </w:r>
      <w:r w:rsidR="00630998">
        <w:rPr>
          <w:rFonts w:ascii="Times New Roman" w:hAnsi="Times New Roman"/>
        </w:rPr>
        <w:t>s</w:t>
      </w:r>
      <w:r w:rsidRPr="00237AC4">
        <w:rPr>
          <w:rFonts w:ascii="Times New Roman" w:hAnsi="Times New Roman"/>
        </w:rPr>
        <w:t xml:space="preserve"> für Betriebswirt</w:t>
      </w:r>
      <w:r>
        <w:rPr>
          <w:rFonts w:ascii="Times New Roman" w:hAnsi="Times New Roman"/>
        </w:rPr>
        <w:t>schaftslehre –</w:t>
      </w:r>
      <w:r w:rsidRPr="00237AC4">
        <w:rPr>
          <w:rFonts w:ascii="Times New Roman" w:hAnsi="Times New Roman"/>
        </w:rPr>
        <w:t xml:space="preserve"> Information, Organisat</w:t>
      </w:r>
      <w:r w:rsidRPr="00237AC4">
        <w:rPr>
          <w:rFonts w:ascii="Times New Roman" w:hAnsi="Times New Roman"/>
        </w:rPr>
        <w:t>i</w:t>
      </w:r>
      <w:r w:rsidRPr="00237AC4">
        <w:rPr>
          <w:rFonts w:ascii="Times New Roman" w:hAnsi="Times New Roman"/>
        </w:rPr>
        <w:t>on und Management der Technischen Universität München</w:t>
      </w:r>
    </w:p>
    <w:p w:rsidR="00237AC4" w:rsidRPr="00237AC4" w:rsidRDefault="00237AC4" w:rsidP="00237AC4">
      <w:pPr>
        <w:shd w:val="clear" w:color="auto" w:fill="FFFFFF" w:themeFill="background1"/>
        <w:jc w:val="both"/>
        <w:rPr>
          <w:rFonts w:ascii="Times New Roman" w:hAnsi="Times New Roman"/>
        </w:rPr>
      </w:pPr>
    </w:p>
    <w:p w:rsidR="00237AC4" w:rsidRPr="00237AC4" w:rsidRDefault="00237AC4" w:rsidP="00237AC4">
      <w:pPr>
        <w:shd w:val="clear" w:color="auto" w:fill="FFFFFF" w:themeFill="background1"/>
        <w:jc w:val="both"/>
        <w:rPr>
          <w:rFonts w:ascii="Times New Roman" w:hAnsi="Times New Roman"/>
        </w:rPr>
      </w:pPr>
      <w:r w:rsidRPr="00237AC4">
        <w:rPr>
          <w:rFonts w:ascii="Times New Roman" w:hAnsi="Times New Roman"/>
        </w:rPr>
        <w:t>Ganz, Walter / Bienzeisler, Bernd (Hrsg.), 2010, Man</w:t>
      </w:r>
      <w:r w:rsidR="007060A3">
        <w:rPr>
          <w:rFonts w:ascii="Times New Roman" w:hAnsi="Times New Roman"/>
        </w:rPr>
        <w:t xml:space="preserve">agement hybrider Wertschöpfung, </w:t>
      </w:r>
      <w:r w:rsidRPr="00237AC4">
        <w:rPr>
          <w:rFonts w:ascii="Times New Roman" w:hAnsi="Times New Roman"/>
        </w:rPr>
        <w:t>Stuttgart</w:t>
      </w:r>
    </w:p>
    <w:p w:rsidR="00237AC4" w:rsidRPr="00237AC4" w:rsidRDefault="00237AC4" w:rsidP="00237AC4">
      <w:pPr>
        <w:shd w:val="clear" w:color="auto" w:fill="FFFFFF" w:themeFill="background1"/>
        <w:jc w:val="both"/>
        <w:rPr>
          <w:rFonts w:ascii="Times New Roman" w:hAnsi="Times New Roman"/>
        </w:rPr>
      </w:pPr>
    </w:p>
    <w:p w:rsidR="00237AC4" w:rsidRPr="00237AC4" w:rsidRDefault="00237AC4" w:rsidP="00237AC4">
      <w:pPr>
        <w:shd w:val="clear" w:color="auto" w:fill="FFFFFF" w:themeFill="background1"/>
        <w:jc w:val="both"/>
        <w:rPr>
          <w:rFonts w:ascii="Times New Roman" w:hAnsi="Times New Roman"/>
        </w:rPr>
      </w:pPr>
      <w:r w:rsidRPr="00237AC4">
        <w:rPr>
          <w:rFonts w:ascii="Times New Roman" w:hAnsi="Times New Roman"/>
        </w:rPr>
        <w:t>Korte, Sabine / Rijkers-Defrasne, Sylivie / Zweck, Axel / Knackstedt, Ralf / Lis, Lukasz, 2010, Hybride Wertschöpfung, Zukünftige Technologien</w:t>
      </w:r>
      <w:r w:rsidR="00630998">
        <w:rPr>
          <w:rFonts w:ascii="Times New Roman" w:hAnsi="Times New Roman"/>
        </w:rPr>
        <w:t>,</w:t>
      </w:r>
      <w:r w:rsidRPr="00237AC4">
        <w:rPr>
          <w:rFonts w:ascii="Times New Roman" w:hAnsi="Times New Roman"/>
        </w:rPr>
        <w:t xml:space="preserve"> Nr. 89, Düsseldorf</w:t>
      </w:r>
    </w:p>
    <w:p w:rsidR="00237AC4" w:rsidRDefault="00237AC4" w:rsidP="00237AC4">
      <w:pPr>
        <w:shd w:val="clear" w:color="auto" w:fill="FFFFFF" w:themeFill="background1"/>
        <w:jc w:val="both"/>
        <w:rPr>
          <w:rFonts w:ascii="Times New Roman" w:hAnsi="Times New Roman"/>
        </w:rPr>
      </w:pPr>
    </w:p>
    <w:p w:rsidR="00824C68" w:rsidRDefault="00824C68" w:rsidP="00237AC4">
      <w:pPr>
        <w:shd w:val="clear" w:color="auto" w:fill="FFFFFF" w:themeFill="background1"/>
        <w:jc w:val="both"/>
        <w:rPr>
          <w:rFonts w:ascii="Times New Roman" w:hAnsi="Times New Roman"/>
        </w:rPr>
      </w:pPr>
      <w:r>
        <w:rPr>
          <w:rFonts w:ascii="Times New Roman" w:hAnsi="Times New Roman"/>
        </w:rPr>
        <w:t>Lichtblau, Karl / Neligan, Adriana (Hrsg.), 2009, Das IW-Zukunftspanel, Ziele, Methoden, Themen und E</w:t>
      </w:r>
      <w:r>
        <w:rPr>
          <w:rFonts w:ascii="Times New Roman" w:hAnsi="Times New Roman"/>
        </w:rPr>
        <w:t>r</w:t>
      </w:r>
      <w:r>
        <w:rPr>
          <w:rFonts w:ascii="Times New Roman" w:hAnsi="Times New Roman"/>
        </w:rPr>
        <w:t>gebnisse, Köln</w:t>
      </w:r>
    </w:p>
    <w:p w:rsidR="00824C68" w:rsidRPr="00237AC4" w:rsidRDefault="00824C68" w:rsidP="00237AC4">
      <w:pPr>
        <w:shd w:val="clear" w:color="auto" w:fill="FFFFFF" w:themeFill="background1"/>
        <w:jc w:val="both"/>
        <w:rPr>
          <w:rFonts w:ascii="Times New Roman" w:hAnsi="Times New Roman"/>
        </w:rPr>
      </w:pPr>
    </w:p>
    <w:p w:rsidR="00237AC4" w:rsidRPr="00237AC4" w:rsidRDefault="00237AC4" w:rsidP="00237AC4">
      <w:pPr>
        <w:shd w:val="clear" w:color="auto" w:fill="FFFFFF" w:themeFill="background1"/>
        <w:jc w:val="both"/>
        <w:rPr>
          <w:rFonts w:ascii="Times New Roman" w:hAnsi="Times New Roman"/>
        </w:rPr>
      </w:pPr>
      <w:r w:rsidRPr="00237AC4">
        <w:rPr>
          <w:rFonts w:ascii="Times New Roman" w:hAnsi="Times New Roman"/>
        </w:rPr>
        <w:t>Schröter, Marcus / Buschak, Daniela / Jäger, Angela, 2010, Nutzen statt Produkte kaufen, Modernisierung der Produktion, Ausgabe 53, Fraunhofer ISI</w:t>
      </w:r>
      <w:r w:rsidR="005B553A">
        <w:rPr>
          <w:rFonts w:ascii="Times New Roman" w:hAnsi="Times New Roman"/>
        </w:rPr>
        <w:t>, Karlsruhe</w:t>
      </w:r>
    </w:p>
    <w:p w:rsidR="00237AC4" w:rsidRPr="00237AC4" w:rsidRDefault="00237AC4" w:rsidP="00237AC4">
      <w:pPr>
        <w:shd w:val="clear" w:color="auto" w:fill="FFFFFF" w:themeFill="background1"/>
        <w:jc w:val="both"/>
        <w:rPr>
          <w:rFonts w:ascii="Times New Roman" w:hAnsi="Times New Roman"/>
        </w:rPr>
      </w:pPr>
    </w:p>
    <w:p w:rsidR="00C133ED" w:rsidRDefault="00237AC4" w:rsidP="000978D3">
      <w:pPr>
        <w:shd w:val="clear" w:color="auto" w:fill="FFFFFF" w:themeFill="background1"/>
        <w:jc w:val="both"/>
        <w:rPr>
          <w:rFonts w:ascii="Times New Roman" w:hAnsi="Times New Roman"/>
        </w:rPr>
      </w:pPr>
      <w:r w:rsidRPr="00237AC4">
        <w:rPr>
          <w:rFonts w:ascii="Times New Roman" w:hAnsi="Times New Roman"/>
        </w:rPr>
        <w:t>Schuh, Günther / Sauer, Alexander / Schmidt, Carsten / Schönung, Martin / Spille, Jana, 2006, Erfolg mit B</w:t>
      </w:r>
      <w:r w:rsidRPr="00237AC4">
        <w:rPr>
          <w:rFonts w:ascii="Times New Roman" w:hAnsi="Times New Roman"/>
        </w:rPr>
        <w:t>e</w:t>
      </w:r>
      <w:r w:rsidRPr="00237AC4">
        <w:rPr>
          <w:rFonts w:ascii="Times New Roman" w:hAnsi="Times New Roman"/>
        </w:rPr>
        <w:t>treibermodellen, Laboratorium für Werkzeugmaschinen und Betriebslehre (WZL) der RWTH Aachen Leh</w:t>
      </w:r>
      <w:r w:rsidRPr="00237AC4">
        <w:rPr>
          <w:rFonts w:ascii="Times New Roman" w:hAnsi="Times New Roman"/>
        </w:rPr>
        <w:t>r</w:t>
      </w:r>
      <w:r w:rsidRPr="00237AC4">
        <w:rPr>
          <w:rFonts w:ascii="Times New Roman" w:hAnsi="Times New Roman"/>
        </w:rPr>
        <w:t>stuhl für Produktionssystematik und Forschungsinstitut für Rationalisierung (FIR) an der RWTH Aachen e.V.</w:t>
      </w:r>
    </w:p>
    <w:p w:rsidR="000978D3" w:rsidRDefault="000978D3" w:rsidP="000978D3">
      <w:pPr>
        <w:shd w:val="clear" w:color="auto" w:fill="FFFFFF" w:themeFill="background1"/>
        <w:jc w:val="both"/>
        <w:rPr>
          <w:rFonts w:ascii="Times New Roman" w:hAnsi="Times New Roman"/>
        </w:rPr>
      </w:pPr>
    </w:p>
    <w:p w:rsidR="000978D3" w:rsidRDefault="005A386F" w:rsidP="000978D3">
      <w:pPr>
        <w:shd w:val="clear" w:color="auto" w:fill="FFFFFF" w:themeFill="background1"/>
        <w:jc w:val="both"/>
      </w:pPr>
      <w:r>
        <w:t>vbw – Vereinigung der Bayerischen Wirtschaft</w:t>
      </w:r>
      <w:r w:rsidR="00824C68">
        <w:t>, 2011, Zukunft industrieller Wertschöpfung: Hybridisierung, München</w:t>
      </w:r>
    </w:p>
    <w:p w:rsidR="00824C68" w:rsidRDefault="00824C68" w:rsidP="000978D3">
      <w:pPr>
        <w:shd w:val="clear" w:color="auto" w:fill="FFFFFF" w:themeFill="background1"/>
        <w:jc w:val="both"/>
      </w:pPr>
    </w:p>
    <w:p w:rsidR="00824C68" w:rsidRPr="00EF1841" w:rsidRDefault="00824C68" w:rsidP="000978D3">
      <w:pPr>
        <w:shd w:val="clear" w:color="auto" w:fill="FFFFFF" w:themeFill="background1"/>
        <w:jc w:val="both"/>
      </w:pPr>
    </w:p>
    <w:p w:rsidR="00C133ED" w:rsidRPr="002902A9" w:rsidRDefault="00C133ED" w:rsidP="00E870EE">
      <w:pPr>
        <w:ind w:left="284" w:hanging="284"/>
        <w:jc w:val="center"/>
        <w:rPr>
          <w:rFonts w:ascii="Times New Roman" w:hAnsi="Times New Roman"/>
          <w:b/>
          <w:lang w:val="en-US"/>
        </w:rPr>
      </w:pPr>
      <w:r w:rsidRPr="002902A9">
        <w:rPr>
          <w:rFonts w:ascii="Times New Roman" w:hAnsi="Times New Roman"/>
          <w:b/>
          <w:lang w:val="en-US"/>
        </w:rPr>
        <w:t>***</w:t>
      </w:r>
    </w:p>
    <w:p w:rsidR="00C133ED" w:rsidRPr="002902A9" w:rsidRDefault="00C133ED" w:rsidP="00E870EE">
      <w:pPr>
        <w:jc w:val="both"/>
        <w:rPr>
          <w:rFonts w:ascii="Times New Roman" w:hAnsi="Times New Roman"/>
          <w:lang w:val="en-US"/>
        </w:rPr>
      </w:pPr>
    </w:p>
    <w:p w:rsidR="00C133ED" w:rsidRPr="002902A9" w:rsidRDefault="00C133ED" w:rsidP="00E870EE">
      <w:pPr>
        <w:jc w:val="both"/>
        <w:rPr>
          <w:rFonts w:ascii="Times New Roman" w:hAnsi="Times New Roman"/>
          <w:lang w:val="en-US"/>
        </w:rPr>
      </w:pPr>
    </w:p>
    <w:p w:rsidR="00824C68" w:rsidRPr="00824C68" w:rsidRDefault="00824C68" w:rsidP="00824C68">
      <w:pPr>
        <w:jc w:val="both"/>
        <w:rPr>
          <w:rFonts w:ascii="Times New Roman" w:hAnsi="Times New Roman"/>
          <w:b/>
          <w:bCs/>
          <w:sz w:val="28"/>
          <w:szCs w:val="28"/>
          <w:lang w:val="en-GB"/>
        </w:rPr>
      </w:pPr>
      <w:r w:rsidRPr="00824C68">
        <w:rPr>
          <w:rFonts w:ascii="Times New Roman" w:hAnsi="Times New Roman"/>
          <w:b/>
          <w:bCs/>
          <w:sz w:val="28"/>
          <w:szCs w:val="28"/>
          <w:lang w:val="en-GB"/>
        </w:rPr>
        <w:t>Definition and measurement of hybrid value creation</w:t>
      </w:r>
    </w:p>
    <w:p w:rsidR="00824C68" w:rsidRDefault="00824C68" w:rsidP="00824C68">
      <w:pPr>
        <w:jc w:val="both"/>
        <w:rPr>
          <w:rFonts w:ascii="Times New Roman" w:hAnsi="Times New Roman"/>
          <w:sz w:val="24"/>
          <w:szCs w:val="24"/>
          <w:lang w:val="en-GB"/>
        </w:rPr>
      </w:pPr>
    </w:p>
    <w:p w:rsidR="00824C68" w:rsidRPr="00824C68" w:rsidRDefault="00824C68" w:rsidP="00824C68">
      <w:pPr>
        <w:pStyle w:val="Textkrper"/>
        <w:jc w:val="both"/>
        <w:rPr>
          <w:sz w:val="24"/>
          <w:szCs w:val="24"/>
          <w:lang w:val="en-US"/>
        </w:rPr>
      </w:pPr>
      <w:r w:rsidRPr="00824C68">
        <w:rPr>
          <w:sz w:val="24"/>
          <w:szCs w:val="24"/>
          <w:lang w:val="en-US"/>
        </w:rPr>
        <w:t>Hybrid business models are successful. Companies which offer solutions bundling man</w:t>
      </w:r>
      <w:r w:rsidRPr="00824C68">
        <w:rPr>
          <w:sz w:val="24"/>
          <w:szCs w:val="24"/>
          <w:lang w:val="en-US"/>
        </w:rPr>
        <w:t>u</w:t>
      </w:r>
      <w:r w:rsidRPr="00824C68">
        <w:rPr>
          <w:sz w:val="24"/>
          <w:szCs w:val="24"/>
          <w:lang w:val="en-US"/>
        </w:rPr>
        <w:t xml:space="preserve">factured products and services are well endowed with success factors and achieve better growth in turnover and employment than the average of German companies. Despite this, hybrid models are </w:t>
      </w:r>
      <w:r w:rsidR="005A386F">
        <w:rPr>
          <w:sz w:val="24"/>
          <w:szCs w:val="24"/>
          <w:lang w:val="en-US"/>
        </w:rPr>
        <w:t>not widespread. To date only 16 per cent</w:t>
      </w:r>
      <w:r w:rsidRPr="00824C68">
        <w:rPr>
          <w:sz w:val="24"/>
          <w:szCs w:val="24"/>
          <w:lang w:val="en-US"/>
        </w:rPr>
        <w:t xml:space="preserve"> of all companies have a hybrid character. One reason for this is the obstacles hybrid companies face. They must deploy more resources and master a higher level of complexity. Nevertheless, these companies are convinced that the benefits outweigh the drawbacks. Thus in five years a fifth of all co</w:t>
      </w:r>
      <w:r w:rsidRPr="00824C68">
        <w:rPr>
          <w:sz w:val="24"/>
          <w:szCs w:val="24"/>
          <w:lang w:val="en-US"/>
        </w:rPr>
        <w:t>m</w:t>
      </w:r>
      <w:r w:rsidRPr="00824C68">
        <w:rPr>
          <w:sz w:val="24"/>
          <w:szCs w:val="24"/>
          <w:lang w:val="en-US"/>
        </w:rPr>
        <w:t>panies in Germany are expected to</w:t>
      </w:r>
      <w:r w:rsidR="00397675">
        <w:rPr>
          <w:sz w:val="24"/>
          <w:szCs w:val="24"/>
          <w:lang w:val="en-US"/>
        </w:rPr>
        <w:t xml:space="preserve"> be pursuing the hybrid model.</w:t>
      </w:r>
    </w:p>
    <w:p w:rsidR="00E062B2" w:rsidRPr="002902A9" w:rsidRDefault="00E062B2" w:rsidP="00EF1841">
      <w:pPr>
        <w:pStyle w:val="Textkrper"/>
        <w:spacing w:line="360" w:lineRule="exact"/>
        <w:jc w:val="both"/>
        <w:rPr>
          <w:sz w:val="24"/>
          <w:lang w:val="en-US"/>
        </w:rPr>
      </w:pPr>
    </w:p>
    <w:p w:rsidR="00E062B2" w:rsidRPr="002902A9" w:rsidRDefault="00E062B2" w:rsidP="00EF1841">
      <w:pPr>
        <w:pStyle w:val="Textkrper"/>
        <w:spacing w:line="360" w:lineRule="exact"/>
        <w:jc w:val="both"/>
        <w:rPr>
          <w:sz w:val="24"/>
          <w:lang w:val="en-US"/>
        </w:rPr>
      </w:pPr>
    </w:p>
    <w:p w:rsidR="00397675" w:rsidRPr="002902A9" w:rsidRDefault="00397675" w:rsidP="00EF1841">
      <w:pPr>
        <w:pStyle w:val="Textkrper"/>
        <w:spacing w:line="360" w:lineRule="exact"/>
        <w:jc w:val="both"/>
        <w:rPr>
          <w:sz w:val="24"/>
          <w:lang w:val="en-US"/>
        </w:rPr>
      </w:pPr>
    </w:p>
    <w:p w:rsidR="004933EE" w:rsidRPr="002902A9" w:rsidRDefault="004933EE" w:rsidP="00EF1841">
      <w:pPr>
        <w:pStyle w:val="Textkrper"/>
        <w:spacing w:line="360" w:lineRule="exact"/>
        <w:jc w:val="both"/>
        <w:rPr>
          <w:sz w:val="24"/>
          <w:lang w:val="en-US"/>
        </w:rPr>
      </w:pPr>
    </w:p>
    <w:p w:rsidR="00237AC4" w:rsidRPr="002902A9" w:rsidRDefault="00237AC4" w:rsidP="00EF1841">
      <w:pPr>
        <w:pStyle w:val="Textkrper"/>
        <w:spacing w:line="360" w:lineRule="exact"/>
        <w:jc w:val="both"/>
        <w:rPr>
          <w:sz w:val="24"/>
          <w:lang w:val="en-US"/>
        </w:rPr>
      </w:pPr>
    </w:p>
    <w:p w:rsidR="0027298D" w:rsidRPr="00EF1841" w:rsidRDefault="0027298D" w:rsidP="00EF1841">
      <w:pPr>
        <w:pStyle w:val="Fuzeile"/>
        <w:tabs>
          <w:tab w:val="clear" w:pos="4819"/>
          <w:tab w:val="clear" w:pos="9071"/>
        </w:tabs>
        <w:rPr>
          <w:rFonts w:ascii="Times New Roman" w:hAnsi="Times New Roman"/>
        </w:rPr>
      </w:pPr>
      <w:r w:rsidRPr="00EF1841">
        <w:rPr>
          <w:rFonts w:ascii="Times New Roman" w:hAnsi="Times New Roman"/>
        </w:rPr>
        <w:t xml:space="preserve">IW-Trends – Vierteljahresschrift zur empirischen Wirtschaftsforschung </w:t>
      </w:r>
    </w:p>
    <w:p w:rsidR="0085428E" w:rsidRPr="00EF1841" w:rsidRDefault="0027298D" w:rsidP="00EF1841">
      <w:pPr>
        <w:pStyle w:val="Fuzeile"/>
        <w:tabs>
          <w:tab w:val="clear" w:pos="4819"/>
          <w:tab w:val="clear" w:pos="9071"/>
        </w:tabs>
        <w:rPr>
          <w:rFonts w:ascii="Times New Roman" w:hAnsi="Times New Roman"/>
        </w:rPr>
      </w:pPr>
      <w:r w:rsidRPr="00EF1841">
        <w:rPr>
          <w:rFonts w:ascii="Times New Roman" w:hAnsi="Times New Roman"/>
        </w:rPr>
        <w:t>aus dem Institut der deutschen Wirtschaft Köln, 3</w:t>
      </w:r>
      <w:r w:rsidR="00EF1841">
        <w:rPr>
          <w:rFonts w:ascii="Times New Roman" w:hAnsi="Times New Roman"/>
        </w:rPr>
        <w:t>9</w:t>
      </w:r>
      <w:r w:rsidRPr="00EF1841">
        <w:rPr>
          <w:rFonts w:ascii="Times New Roman" w:hAnsi="Times New Roman"/>
        </w:rPr>
        <w:t>. Jahrgang, Heft 1/201</w:t>
      </w:r>
      <w:r w:rsidR="00EF1841">
        <w:rPr>
          <w:rFonts w:ascii="Times New Roman" w:hAnsi="Times New Roman"/>
        </w:rPr>
        <w:t>2</w:t>
      </w:r>
      <w:r w:rsidRPr="00EF1841">
        <w:rPr>
          <w:rFonts w:ascii="Times New Roman" w:hAnsi="Times New Roman"/>
        </w:rPr>
        <w:t>; ISSN 0941-6838</w:t>
      </w:r>
      <w:r w:rsidR="00E820F0">
        <w:rPr>
          <w:rFonts w:ascii="Times New Roman" w:hAnsi="Times New Roman"/>
        </w:rPr>
        <w:t xml:space="preserve"> (Printversion); ISSN </w:t>
      </w:r>
      <w:r w:rsidR="00E50C60">
        <w:rPr>
          <w:rFonts w:ascii="Times New Roman" w:hAnsi="Times New Roman"/>
        </w:rPr>
        <w:t>1</w:t>
      </w:r>
      <w:r w:rsidR="00E820F0">
        <w:rPr>
          <w:rFonts w:ascii="Times New Roman" w:hAnsi="Times New Roman"/>
        </w:rPr>
        <w:t xml:space="preserve">864-810X (Onlineversion). </w:t>
      </w:r>
      <w:r w:rsidRPr="00EF1841">
        <w:rPr>
          <w:rFonts w:ascii="Times New Roman" w:hAnsi="Times New Roman"/>
        </w:rPr>
        <w:t>Rechte für den Nachdruck oder die elektronische Verwertung erhalten Sie über lizenzen@iwkoeln.de,</w:t>
      </w:r>
      <w:r w:rsidR="003C6390">
        <w:rPr>
          <w:rFonts w:ascii="Times New Roman" w:hAnsi="Times New Roman"/>
        </w:rPr>
        <w:t xml:space="preserve"> </w:t>
      </w:r>
      <w:r w:rsidRPr="00EF1841">
        <w:rPr>
          <w:rFonts w:ascii="Times New Roman" w:hAnsi="Times New Roman"/>
        </w:rPr>
        <w:t>die erforderlichen Rechte für elektronische Pressespiegel unter www.pressemonitor.de</w:t>
      </w:r>
      <w:r w:rsidR="00794979">
        <w:rPr>
          <w:rFonts w:ascii="Times New Roman" w:hAnsi="Times New Roman"/>
        </w:rPr>
        <w:t xml:space="preserve"> </w:t>
      </w:r>
      <w:r w:rsidRPr="00EF1841">
        <w:rPr>
          <w:rFonts w:ascii="Times New Roman" w:hAnsi="Times New Roman"/>
        </w:rPr>
        <w:t>© 201</w:t>
      </w:r>
      <w:r w:rsidR="00EF1841">
        <w:rPr>
          <w:rFonts w:ascii="Times New Roman" w:hAnsi="Times New Roman"/>
        </w:rPr>
        <w:t>2</w:t>
      </w:r>
      <w:r w:rsidRPr="00EF1841">
        <w:rPr>
          <w:rFonts w:ascii="Times New Roman" w:hAnsi="Times New Roman"/>
        </w:rPr>
        <w:t>, IW Medien GmbH, Köln; DOI: 10.2373/1864-810X.1</w:t>
      </w:r>
      <w:r w:rsidR="00EF1841">
        <w:rPr>
          <w:rFonts w:ascii="Times New Roman" w:hAnsi="Times New Roman"/>
        </w:rPr>
        <w:t>2-01-02</w:t>
      </w:r>
    </w:p>
    <w:sectPr w:rsidR="0085428E" w:rsidRPr="00EF1841" w:rsidSect="008F192A">
      <w:headerReference w:type="default" r:id="rId26"/>
      <w:footerReference w:type="even" r:id="rId27"/>
      <w:footerReference w:type="default" r:id="rId28"/>
      <w:headerReference w:type="first" r:id="rId29"/>
      <w:pgSz w:w="11906" w:h="16838" w:code="9"/>
      <w:pgMar w:top="1758" w:right="1701" w:bottom="1418" w:left="1418" w:header="624"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D" w:rsidRDefault="0061180D">
      <w:r>
        <w:separator/>
      </w:r>
    </w:p>
  </w:endnote>
  <w:endnote w:type="continuationSeparator" w:id="0">
    <w:p w:rsidR="0061180D" w:rsidRDefault="0061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29" w:rsidRDefault="00B3542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B3D94">
      <w:rPr>
        <w:rStyle w:val="Seitenzahl"/>
        <w:noProof/>
      </w:rPr>
      <w:t>20</w:t>
    </w:r>
    <w:r>
      <w:rPr>
        <w:rStyle w:val="Seitenzahl"/>
      </w:rPr>
      <w:fldChar w:fldCharType="end"/>
    </w:r>
  </w:p>
  <w:p w:rsidR="00B35429" w:rsidRDefault="00B354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29" w:rsidRDefault="00B3542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86E96">
      <w:rPr>
        <w:rStyle w:val="Seitenzahl"/>
        <w:noProof/>
      </w:rPr>
      <w:t>8</w:t>
    </w:r>
    <w:r>
      <w:rPr>
        <w:rStyle w:val="Seitenzahl"/>
      </w:rPr>
      <w:fldChar w:fldCharType="end"/>
    </w:r>
  </w:p>
  <w:p w:rsidR="00B35429" w:rsidRDefault="00B3542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D" w:rsidRDefault="0061180D">
      <w:r>
        <w:separator/>
      </w:r>
    </w:p>
  </w:footnote>
  <w:footnote w:type="continuationSeparator" w:id="0">
    <w:p w:rsidR="0061180D" w:rsidRDefault="00611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B35429">
      <w:tc>
        <w:tcPr>
          <w:tcW w:w="4463" w:type="dxa"/>
        </w:tcPr>
        <w:p w:rsidR="00B35429" w:rsidRDefault="00B35429">
          <w:pPr>
            <w:pStyle w:val="Fuzeile"/>
            <w:tabs>
              <w:tab w:val="clear" w:pos="4819"/>
              <w:tab w:val="clear" w:pos="9071"/>
            </w:tabs>
          </w:pPr>
          <w:r>
            <w:rPr>
              <w:noProof/>
            </w:rPr>
            <w:drawing>
              <wp:anchor distT="0" distB="0" distL="114300" distR="114300" simplePos="0" relativeHeight="251657216" behindDoc="0" locked="0" layoutInCell="0" allowOverlap="1" wp14:anchorId="01598B8E" wp14:editId="634B733E">
                <wp:simplePos x="0" y="0"/>
                <wp:positionH relativeFrom="column">
                  <wp:posOffset>-74930</wp:posOffset>
                </wp:positionH>
                <wp:positionV relativeFrom="paragraph">
                  <wp:posOffset>60960</wp:posOffset>
                </wp:positionV>
                <wp:extent cx="701040" cy="198120"/>
                <wp:effectExtent l="0" t="0" r="0" b="0"/>
                <wp:wrapTopAndBottom/>
                <wp:docPr id="3" name="Bild 3" descr="TrLogo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Logo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198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3" w:type="dxa"/>
        </w:tcPr>
        <w:p w:rsidR="00B35429" w:rsidRDefault="00B35429" w:rsidP="00DD63FF">
          <w:pPr>
            <w:pStyle w:val="Fuzeile"/>
            <w:tabs>
              <w:tab w:val="clear" w:pos="4819"/>
              <w:tab w:val="clear" w:pos="9071"/>
            </w:tabs>
            <w:spacing w:before="180" w:after="120"/>
            <w:jc w:val="right"/>
          </w:pPr>
          <w:r>
            <w:t>1/2012</w:t>
          </w:r>
        </w:p>
      </w:tc>
    </w:tr>
  </w:tbl>
  <w:p w:rsidR="00B35429" w:rsidRDefault="00B35429">
    <w:pPr>
      <w:pStyle w:val="Fuzeile"/>
      <w:tabs>
        <w:tab w:val="clear" w:pos="4819"/>
        <w:tab w:val="clear" w:pos="90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927"/>
    </w:tblGrid>
    <w:tr w:rsidR="00B35429">
      <w:trPr>
        <w:trHeight w:val="426"/>
      </w:trPr>
      <w:tc>
        <w:tcPr>
          <w:tcW w:w="8927" w:type="dxa"/>
        </w:tcPr>
        <w:p w:rsidR="00B35429" w:rsidRPr="00F1002A" w:rsidRDefault="00B35429" w:rsidP="00DA527E">
          <w:pPr>
            <w:pStyle w:val="Kopfzeile"/>
            <w:rPr>
              <w:rFonts w:ascii="Times New Roman" w:hAnsi="Times New Roman"/>
            </w:rPr>
          </w:pPr>
          <w:r>
            <w:rPr>
              <w:noProof/>
            </w:rPr>
            <w:drawing>
              <wp:anchor distT="0" distB="0" distL="114300" distR="114300" simplePos="0" relativeHeight="251658240" behindDoc="0" locked="0" layoutInCell="1" allowOverlap="1" wp14:anchorId="6090F541" wp14:editId="341D9ADA">
                <wp:simplePos x="0" y="0"/>
                <wp:positionH relativeFrom="column">
                  <wp:posOffset>-79375</wp:posOffset>
                </wp:positionH>
                <wp:positionV relativeFrom="paragraph">
                  <wp:posOffset>-28575</wp:posOffset>
                </wp:positionV>
                <wp:extent cx="918210" cy="259715"/>
                <wp:effectExtent l="0" t="0" r="0" b="0"/>
                <wp:wrapNone/>
                <wp:docPr id="4" name="Bild 4" descr="TrLogo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Logo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2597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Times New Roman" w:hAnsi="Times New Roman"/>
            </w:rPr>
            <w:t>1/2012</w:t>
          </w:r>
        </w:p>
      </w:tc>
    </w:tr>
  </w:tbl>
  <w:p w:rsidR="00B35429" w:rsidRDefault="00B35429" w:rsidP="00DB17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1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A6907A4"/>
    <w:multiLevelType w:val="hybridMultilevel"/>
    <w:tmpl w:val="99EEE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E900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FF43E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23B26E5"/>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12550AEA"/>
    <w:multiLevelType w:val="hybridMultilevel"/>
    <w:tmpl w:val="D3589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1820BA"/>
    <w:multiLevelType w:val="singleLevel"/>
    <w:tmpl w:val="DD78EDEE"/>
    <w:lvl w:ilvl="0">
      <w:numFmt w:val="bullet"/>
      <w:lvlText w:val="-"/>
      <w:lvlJc w:val="left"/>
      <w:pPr>
        <w:tabs>
          <w:tab w:val="num" w:pos="360"/>
        </w:tabs>
        <w:ind w:left="360" w:hanging="360"/>
      </w:pPr>
      <w:rPr>
        <w:rFonts w:hint="default"/>
      </w:rPr>
    </w:lvl>
  </w:abstractNum>
  <w:abstractNum w:abstractNumId="7">
    <w:nsid w:val="15C962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9800158"/>
    <w:multiLevelType w:val="singleLevel"/>
    <w:tmpl w:val="66A2C780"/>
    <w:lvl w:ilvl="0">
      <w:start w:val="43"/>
      <w:numFmt w:val="bullet"/>
      <w:lvlText w:val="-"/>
      <w:lvlJc w:val="left"/>
      <w:pPr>
        <w:tabs>
          <w:tab w:val="num" w:pos="2484"/>
        </w:tabs>
        <w:ind w:left="2484" w:hanging="360"/>
      </w:pPr>
      <w:rPr>
        <w:rFonts w:hint="default"/>
      </w:rPr>
    </w:lvl>
  </w:abstractNum>
  <w:abstractNum w:abstractNumId="9">
    <w:nsid w:val="2585193C"/>
    <w:multiLevelType w:val="hybridMultilevel"/>
    <w:tmpl w:val="8F505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7574E3"/>
    <w:multiLevelType w:val="singleLevel"/>
    <w:tmpl w:val="6A48EC4A"/>
    <w:lvl w:ilvl="0">
      <w:start w:val="7"/>
      <w:numFmt w:val="bullet"/>
      <w:lvlText w:val="-"/>
      <w:lvlJc w:val="left"/>
      <w:pPr>
        <w:tabs>
          <w:tab w:val="num" w:pos="360"/>
        </w:tabs>
        <w:ind w:left="360" w:hanging="360"/>
      </w:pPr>
      <w:rPr>
        <w:rFonts w:hint="default"/>
      </w:rPr>
    </w:lvl>
  </w:abstractNum>
  <w:abstractNum w:abstractNumId="11">
    <w:nsid w:val="327875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36826810"/>
    <w:multiLevelType w:val="singleLevel"/>
    <w:tmpl w:val="0407000F"/>
    <w:lvl w:ilvl="0">
      <w:start w:val="1"/>
      <w:numFmt w:val="decimal"/>
      <w:lvlText w:val="%1."/>
      <w:lvlJc w:val="left"/>
      <w:pPr>
        <w:tabs>
          <w:tab w:val="num" w:pos="360"/>
        </w:tabs>
        <w:ind w:left="360" w:hanging="360"/>
      </w:pPr>
    </w:lvl>
  </w:abstractNum>
  <w:abstractNum w:abstractNumId="13">
    <w:nsid w:val="371266D6"/>
    <w:multiLevelType w:val="hybridMultilevel"/>
    <w:tmpl w:val="A064AAC2"/>
    <w:lvl w:ilvl="0" w:tplc="E7901E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312363"/>
    <w:multiLevelType w:val="singleLevel"/>
    <w:tmpl w:val="04070011"/>
    <w:lvl w:ilvl="0">
      <w:start w:val="1"/>
      <w:numFmt w:val="decimal"/>
      <w:lvlText w:val="%1)"/>
      <w:lvlJc w:val="left"/>
      <w:pPr>
        <w:tabs>
          <w:tab w:val="num" w:pos="360"/>
        </w:tabs>
        <w:ind w:left="360" w:hanging="360"/>
      </w:pPr>
      <w:rPr>
        <w:rFonts w:hint="default"/>
      </w:rPr>
    </w:lvl>
  </w:abstractNum>
  <w:abstractNum w:abstractNumId="15">
    <w:nsid w:val="3B3B09C0"/>
    <w:multiLevelType w:val="singleLevel"/>
    <w:tmpl w:val="04070011"/>
    <w:lvl w:ilvl="0">
      <w:start w:val="1"/>
      <w:numFmt w:val="decimal"/>
      <w:lvlText w:val="%1)"/>
      <w:lvlJc w:val="left"/>
      <w:pPr>
        <w:tabs>
          <w:tab w:val="num" w:pos="360"/>
        </w:tabs>
        <w:ind w:left="360" w:hanging="360"/>
      </w:pPr>
      <w:rPr>
        <w:rFonts w:hint="default"/>
      </w:rPr>
    </w:lvl>
  </w:abstractNum>
  <w:abstractNum w:abstractNumId="16">
    <w:nsid w:val="3B5447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42451FFF"/>
    <w:multiLevelType w:val="hybridMultilevel"/>
    <w:tmpl w:val="55DE8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E210A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4E805B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4F830FC6"/>
    <w:multiLevelType w:val="hybridMultilevel"/>
    <w:tmpl w:val="7628502C"/>
    <w:lvl w:ilvl="0" w:tplc="7868C33C">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68759F"/>
    <w:multiLevelType w:val="singleLevel"/>
    <w:tmpl w:val="6A48EC4A"/>
    <w:lvl w:ilvl="0">
      <w:start w:val="3"/>
      <w:numFmt w:val="bullet"/>
      <w:lvlText w:val="-"/>
      <w:lvlJc w:val="left"/>
      <w:pPr>
        <w:tabs>
          <w:tab w:val="num" w:pos="360"/>
        </w:tabs>
        <w:ind w:left="360" w:hanging="360"/>
      </w:pPr>
      <w:rPr>
        <w:rFonts w:hint="default"/>
      </w:rPr>
    </w:lvl>
  </w:abstractNum>
  <w:abstractNum w:abstractNumId="22">
    <w:nsid w:val="685E2072"/>
    <w:multiLevelType w:val="hybridMultilevel"/>
    <w:tmpl w:val="BB2C1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D67F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73803C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75B877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5D653A1"/>
    <w:multiLevelType w:val="hybridMultilevel"/>
    <w:tmpl w:val="2DCC49F0"/>
    <w:lvl w:ilvl="0" w:tplc="EEE44A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5"/>
  </w:num>
  <w:num w:numId="4">
    <w:abstractNumId w:val="2"/>
  </w:num>
  <w:num w:numId="5">
    <w:abstractNumId w:val="6"/>
  </w:num>
  <w:num w:numId="6">
    <w:abstractNumId w:val="0"/>
  </w:num>
  <w:num w:numId="7">
    <w:abstractNumId w:val="23"/>
  </w:num>
  <w:num w:numId="8">
    <w:abstractNumId w:val="7"/>
  </w:num>
  <w:num w:numId="9">
    <w:abstractNumId w:val="3"/>
  </w:num>
  <w:num w:numId="10">
    <w:abstractNumId w:val="11"/>
  </w:num>
  <w:num w:numId="11">
    <w:abstractNumId w:val="16"/>
  </w:num>
  <w:num w:numId="12">
    <w:abstractNumId w:val="10"/>
  </w:num>
  <w:num w:numId="13">
    <w:abstractNumId w:val="21"/>
  </w:num>
  <w:num w:numId="14">
    <w:abstractNumId w:val="8"/>
  </w:num>
  <w:num w:numId="15">
    <w:abstractNumId w:val="4"/>
  </w:num>
  <w:num w:numId="16">
    <w:abstractNumId w:val="19"/>
  </w:num>
  <w:num w:numId="17">
    <w:abstractNumId w:val="12"/>
  </w:num>
  <w:num w:numId="18">
    <w:abstractNumId w:val="15"/>
  </w:num>
  <w:num w:numId="19">
    <w:abstractNumId w:val="14"/>
  </w:num>
  <w:num w:numId="20">
    <w:abstractNumId w:val="5"/>
  </w:num>
  <w:num w:numId="21">
    <w:abstractNumId w:val="22"/>
  </w:num>
  <w:num w:numId="22">
    <w:abstractNumId w:val="1"/>
  </w:num>
  <w:num w:numId="23">
    <w:abstractNumId w:val="13"/>
  </w:num>
  <w:num w:numId="24">
    <w:abstractNumId w:val="17"/>
  </w:num>
  <w:num w:numId="25">
    <w:abstractNumId w:val="9"/>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57"/>
  <w:displayHorizontalDrawingGridEvery w:val="0"/>
  <w:displayVerticalDrawingGridEvery w:val="0"/>
  <w:doNotUseMarginsForDrawingGridOrigin/>
  <w:doNotShadeFormData/>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D"/>
    <w:rsid w:val="00005A69"/>
    <w:rsid w:val="00007591"/>
    <w:rsid w:val="00010BD5"/>
    <w:rsid w:val="0001680F"/>
    <w:rsid w:val="00016E18"/>
    <w:rsid w:val="00020DB8"/>
    <w:rsid w:val="00026E8B"/>
    <w:rsid w:val="00027044"/>
    <w:rsid w:val="00027184"/>
    <w:rsid w:val="00032F09"/>
    <w:rsid w:val="00080F99"/>
    <w:rsid w:val="0008303A"/>
    <w:rsid w:val="00086E96"/>
    <w:rsid w:val="00095451"/>
    <w:rsid w:val="000978D3"/>
    <w:rsid w:val="000A7036"/>
    <w:rsid w:val="000B0B6A"/>
    <w:rsid w:val="000C578D"/>
    <w:rsid w:val="000D2626"/>
    <w:rsid w:val="000F25F7"/>
    <w:rsid w:val="00103C09"/>
    <w:rsid w:val="0012199E"/>
    <w:rsid w:val="001362DA"/>
    <w:rsid w:val="00143E74"/>
    <w:rsid w:val="00143EAA"/>
    <w:rsid w:val="001539AC"/>
    <w:rsid w:val="00157379"/>
    <w:rsid w:val="00164637"/>
    <w:rsid w:val="00186F8D"/>
    <w:rsid w:val="00191AA6"/>
    <w:rsid w:val="00192A11"/>
    <w:rsid w:val="001A2CC4"/>
    <w:rsid w:val="001A41FB"/>
    <w:rsid w:val="001B6E65"/>
    <w:rsid w:val="001C0506"/>
    <w:rsid w:val="001C095E"/>
    <w:rsid w:val="001D0254"/>
    <w:rsid w:val="001D3AA2"/>
    <w:rsid w:val="001D3B98"/>
    <w:rsid w:val="001D3CED"/>
    <w:rsid w:val="001D65B2"/>
    <w:rsid w:val="001E0768"/>
    <w:rsid w:val="001E51A9"/>
    <w:rsid w:val="001F1CCD"/>
    <w:rsid w:val="002259DA"/>
    <w:rsid w:val="002303ED"/>
    <w:rsid w:val="00232AB6"/>
    <w:rsid w:val="00237AC4"/>
    <w:rsid w:val="00240E07"/>
    <w:rsid w:val="00241617"/>
    <w:rsid w:val="002453EA"/>
    <w:rsid w:val="00246CE0"/>
    <w:rsid w:val="0025108E"/>
    <w:rsid w:val="00264CEB"/>
    <w:rsid w:val="0027298D"/>
    <w:rsid w:val="00273EDD"/>
    <w:rsid w:val="00274B09"/>
    <w:rsid w:val="00282DAF"/>
    <w:rsid w:val="002832F3"/>
    <w:rsid w:val="002838FD"/>
    <w:rsid w:val="00285BD7"/>
    <w:rsid w:val="002902A9"/>
    <w:rsid w:val="00294F5B"/>
    <w:rsid w:val="002951A2"/>
    <w:rsid w:val="00296D32"/>
    <w:rsid w:val="002A139E"/>
    <w:rsid w:val="002B54FE"/>
    <w:rsid w:val="002E610B"/>
    <w:rsid w:val="002F1921"/>
    <w:rsid w:val="002F49C7"/>
    <w:rsid w:val="002F7EF5"/>
    <w:rsid w:val="00305F8D"/>
    <w:rsid w:val="00306BAD"/>
    <w:rsid w:val="00307B2C"/>
    <w:rsid w:val="00313450"/>
    <w:rsid w:val="00321120"/>
    <w:rsid w:val="003218C7"/>
    <w:rsid w:val="0032293F"/>
    <w:rsid w:val="00323245"/>
    <w:rsid w:val="00324E09"/>
    <w:rsid w:val="00333F10"/>
    <w:rsid w:val="003366C6"/>
    <w:rsid w:val="00340CF3"/>
    <w:rsid w:val="0034168C"/>
    <w:rsid w:val="00343DFA"/>
    <w:rsid w:val="00355E9E"/>
    <w:rsid w:val="00356423"/>
    <w:rsid w:val="003622A5"/>
    <w:rsid w:val="003842D5"/>
    <w:rsid w:val="00395901"/>
    <w:rsid w:val="00397675"/>
    <w:rsid w:val="003B1221"/>
    <w:rsid w:val="003B48D4"/>
    <w:rsid w:val="003B74CE"/>
    <w:rsid w:val="003C1B50"/>
    <w:rsid w:val="003C539B"/>
    <w:rsid w:val="003C5410"/>
    <w:rsid w:val="003C6390"/>
    <w:rsid w:val="003D479C"/>
    <w:rsid w:val="00402D49"/>
    <w:rsid w:val="00410C8E"/>
    <w:rsid w:val="0042675C"/>
    <w:rsid w:val="0043427E"/>
    <w:rsid w:val="004363E7"/>
    <w:rsid w:val="00436BDB"/>
    <w:rsid w:val="00445E7E"/>
    <w:rsid w:val="00446286"/>
    <w:rsid w:val="00470DE2"/>
    <w:rsid w:val="00483098"/>
    <w:rsid w:val="004933EE"/>
    <w:rsid w:val="0049718F"/>
    <w:rsid w:val="004B2AE1"/>
    <w:rsid w:val="004B7DCD"/>
    <w:rsid w:val="004C031E"/>
    <w:rsid w:val="004C157D"/>
    <w:rsid w:val="004E70FB"/>
    <w:rsid w:val="00501975"/>
    <w:rsid w:val="00521CA4"/>
    <w:rsid w:val="00547A2D"/>
    <w:rsid w:val="00571820"/>
    <w:rsid w:val="005813D9"/>
    <w:rsid w:val="00581988"/>
    <w:rsid w:val="00582C75"/>
    <w:rsid w:val="00586B02"/>
    <w:rsid w:val="0058731C"/>
    <w:rsid w:val="005A104D"/>
    <w:rsid w:val="005A386F"/>
    <w:rsid w:val="005B532A"/>
    <w:rsid w:val="005B553A"/>
    <w:rsid w:val="005B6911"/>
    <w:rsid w:val="005D0770"/>
    <w:rsid w:val="005D4F4D"/>
    <w:rsid w:val="005E63A7"/>
    <w:rsid w:val="005F314B"/>
    <w:rsid w:val="006038BC"/>
    <w:rsid w:val="0061180D"/>
    <w:rsid w:val="0061255E"/>
    <w:rsid w:val="00630998"/>
    <w:rsid w:val="006325CA"/>
    <w:rsid w:val="00633967"/>
    <w:rsid w:val="006370EE"/>
    <w:rsid w:val="00645CE3"/>
    <w:rsid w:val="00652AF0"/>
    <w:rsid w:val="00656341"/>
    <w:rsid w:val="006726B8"/>
    <w:rsid w:val="00672807"/>
    <w:rsid w:val="00677732"/>
    <w:rsid w:val="0068720C"/>
    <w:rsid w:val="0069024F"/>
    <w:rsid w:val="00692DA9"/>
    <w:rsid w:val="006A1D76"/>
    <w:rsid w:val="006A6E72"/>
    <w:rsid w:val="006B0320"/>
    <w:rsid w:val="006B7603"/>
    <w:rsid w:val="006C4983"/>
    <w:rsid w:val="006D2768"/>
    <w:rsid w:val="006D4DDE"/>
    <w:rsid w:val="006D5980"/>
    <w:rsid w:val="006D7CE3"/>
    <w:rsid w:val="00703FCA"/>
    <w:rsid w:val="007060A3"/>
    <w:rsid w:val="007111FC"/>
    <w:rsid w:val="007160DF"/>
    <w:rsid w:val="00717ACB"/>
    <w:rsid w:val="00730D09"/>
    <w:rsid w:val="00732182"/>
    <w:rsid w:val="0073503A"/>
    <w:rsid w:val="007370A2"/>
    <w:rsid w:val="00740A39"/>
    <w:rsid w:val="0075019A"/>
    <w:rsid w:val="007638D5"/>
    <w:rsid w:val="00770F9A"/>
    <w:rsid w:val="007923CD"/>
    <w:rsid w:val="00794979"/>
    <w:rsid w:val="007956ED"/>
    <w:rsid w:val="00797021"/>
    <w:rsid w:val="00797826"/>
    <w:rsid w:val="007A55B8"/>
    <w:rsid w:val="007B49A9"/>
    <w:rsid w:val="007C313B"/>
    <w:rsid w:val="007C6FDE"/>
    <w:rsid w:val="007D2DAA"/>
    <w:rsid w:val="007D6175"/>
    <w:rsid w:val="007D6D5C"/>
    <w:rsid w:val="007E60D6"/>
    <w:rsid w:val="008166C9"/>
    <w:rsid w:val="008172B8"/>
    <w:rsid w:val="00823927"/>
    <w:rsid w:val="00824C68"/>
    <w:rsid w:val="00825BCF"/>
    <w:rsid w:val="00830767"/>
    <w:rsid w:val="0083246B"/>
    <w:rsid w:val="00851863"/>
    <w:rsid w:val="0085428E"/>
    <w:rsid w:val="008552DD"/>
    <w:rsid w:val="00860648"/>
    <w:rsid w:val="00867FFA"/>
    <w:rsid w:val="00873C80"/>
    <w:rsid w:val="008856FF"/>
    <w:rsid w:val="00885DD0"/>
    <w:rsid w:val="008D5C60"/>
    <w:rsid w:val="008E124C"/>
    <w:rsid w:val="008E1CB9"/>
    <w:rsid w:val="008E61CC"/>
    <w:rsid w:val="008F192A"/>
    <w:rsid w:val="008F31F2"/>
    <w:rsid w:val="00901868"/>
    <w:rsid w:val="0092076A"/>
    <w:rsid w:val="009263AE"/>
    <w:rsid w:val="00962F81"/>
    <w:rsid w:val="00963EB8"/>
    <w:rsid w:val="00993DA9"/>
    <w:rsid w:val="009966F9"/>
    <w:rsid w:val="00997D8A"/>
    <w:rsid w:val="009A1502"/>
    <w:rsid w:val="009B3400"/>
    <w:rsid w:val="009B79BC"/>
    <w:rsid w:val="009C029F"/>
    <w:rsid w:val="009C36D2"/>
    <w:rsid w:val="009C5E4A"/>
    <w:rsid w:val="009D33DB"/>
    <w:rsid w:val="009E2DC5"/>
    <w:rsid w:val="009E4388"/>
    <w:rsid w:val="009F30D7"/>
    <w:rsid w:val="00A04108"/>
    <w:rsid w:val="00A06BA4"/>
    <w:rsid w:val="00A15231"/>
    <w:rsid w:val="00A1641E"/>
    <w:rsid w:val="00A202D8"/>
    <w:rsid w:val="00A2148C"/>
    <w:rsid w:val="00A25A68"/>
    <w:rsid w:val="00A36B77"/>
    <w:rsid w:val="00A5033C"/>
    <w:rsid w:val="00A50E32"/>
    <w:rsid w:val="00A524F6"/>
    <w:rsid w:val="00A5285F"/>
    <w:rsid w:val="00A62DEC"/>
    <w:rsid w:val="00A702E4"/>
    <w:rsid w:val="00A85AC3"/>
    <w:rsid w:val="00A87DA2"/>
    <w:rsid w:val="00A92F1F"/>
    <w:rsid w:val="00A97DDE"/>
    <w:rsid w:val="00AA01BD"/>
    <w:rsid w:val="00AA67E0"/>
    <w:rsid w:val="00AA72CC"/>
    <w:rsid w:val="00AA772E"/>
    <w:rsid w:val="00AB3D94"/>
    <w:rsid w:val="00AB4BCC"/>
    <w:rsid w:val="00AB6242"/>
    <w:rsid w:val="00AD131D"/>
    <w:rsid w:val="00AD78AA"/>
    <w:rsid w:val="00B00F48"/>
    <w:rsid w:val="00B05F94"/>
    <w:rsid w:val="00B11370"/>
    <w:rsid w:val="00B1596E"/>
    <w:rsid w:val="00B200B2"/>
    <w:rsid w:val="00B2287F"/>
    <w:rsid w:val="00B30208"/>
    <w:rsid w:val="00B31F30"/>
    <w:rsid w:val="00B35429"/>
    <w:rsid w:val="00B37133"/>
    <w:rsid w:val="00B411E0"/>
    <w:rsid w:val="00B4776B"/>
    <w:rsid w:val="00B56956"/>
    <w:rsid w:val="00B6247B"/>
    <w:rsid w:val="00B72A15"/>
    <w:rsid w:val="00B739B4"/>
    <w:rsid w:val="00B8155D"/>
    <w:rsid w:val="00B9143C"/>
    <w:rsid w:val="00B938A7"/>
    <w:rsid w:val="00B9661F"/>
    <w:rsid w:val="00B96708"/>
    <w:rsid w:val="00B97C1D"/>
    <w:rsid w:val="00BA3747"/>
    <w:rsid w:val="00BA7137"/>
    <w:rsid w:val="00BB0150"/>
    <w:rsid w:val="00BC1D64"/>
    <w:rsid w:val="00BD00C0"/>
    <w:rsid w:val="00BE418D"/>
    <w:rsid w:val="00BE5A7F"/>
    <w:rsid w:val="00BF4A1D"/>
    <w:rsid w:val="00C004C0"/>
    <w:rsid w:val="00C07E81"/>
    <w:rsid w:val="00C133ED"/>
    <w:rsid w:val="00C15832"/>
    <w:rsid w:val="00C179E5"/>
    <w:rsid w:val="00C2047E"/>
    <w:rsid w:val="00C36D7D"/>
    <w:rsid w:val="00C47657"/>
    <w:rsid w:val="00C5280E"/>
    <w:rsid w:val="00C571EB"/>
    <w:rsid w:val="00C65333"/>
    <w:rsid w:val="00C70E9D"/>
    <w:rsid w:val="00C74385"/>
    <w:rsid w:val="00C832F1"/>
    <w:rsid w:val="00C956F5"/>
    <w:rsid w:val="00CA7BB5"/>
    <w:rsid w:val="00CB0880"/>
    <w:rsid w:val="00CB0EA1"/>
    <w:rsid w:val="00CB6B10"/>
    <w:rsid w:val="00CB6E1F"/>
    <w:rsid w:val="00CC1A77"/>
    <w:rsid w:val="00CC3347"/>
    <w:rsid w:val="00CC5E27"/>
    <w:rsid w:val="00CE222F"/>
    <w:rsid w:val="00CE4A71"/>
    <w:rsid w:val="00D0489A"/>
    <w:rsid w:val="00D0628B"/>
    <w:rsid w:val="00D070CC"/>
    <w:rsid w:val="00D14C0C"/>
    <w:rsid w:val="00D32500"/>
    <w:rsid w:val="00D35BB6"/>
    <w:rsid w:val="00D36302"/>
    <w:rsid w:val="00D6208C"/>
    <w:rsid w:val="00D668A3"/>
    <w:rsid w:val="00D67FD7"/>
    <w:rsid w:val="00D8703F"/>
    <w:rsid w:val="00D925FC"/>
    <w:rsid w:val="00DA527E"/>
    <w:rsid w:val="00DB13A1"/>
    <w:rsid w:val="00DB17E5"/>
    <w:rsid w:val="00DD23A1"/>
    <w:rsid w:val="00DD315E"/>
    <w:rsid w:val="00DD48CA"/>
    <w:rsid w:val="00DD63FF"/>
    <w:rsid w:val="00DE0D1D"/>
    <w:rsid w:val="00DE3B06"/>
    <w:rsid w:val="00DE4D71"/>
    <w:rsid w:val="00DF11DF"/>
    <w:rsid w:val="00DF2DD0"/>
    <w:rsid w:val="00DF3F8B"/>
    <w:rsid w:val="00DF5F45"/>
    <w:rsid w:val="00DF7AB0"/>
    <w:rsid w:val="00E0612C"/>
    <w:rsid w:val="00E062B2"/>
    <w:rsid w:val="00E21DD1"/>
    <w:rsid w:val="00E3413E"/>
    <w:rsid w:val="00E40B71"/>
    <w:rsid w:val="00E464A1"/>
    <w:rsid w:val="00E50C60"/>
    <w:rsid w:val="00E55839"/>
    <w:rsid w:val="00E56C01"/>
    <w:rsid w:val="00E65EFC"/>
    <w:rsid w:val="00E660EF"/>
    <w:rsid w:val="00E67EA3"/>
    <w:rsid w:val="00E67F68"/>
    <w:rsid w:val="00E71272"/>
    <w:rsid w:val="00E72FA7"/>
    <w:rsid w:val="00E73522"/>
    <w:rsid w:val="00E77DE3"/>
    <w:rsid w:val="00E820F0"/>
    <w:rsid w:val="00E85951"/>
    <w:rsid w:val="00E870EE"/>
    <w:rsid w:val="00E913D5"/>
    <w:rsid w:val="00E93CD7"/>
    <w:rsid w:val="00E945E3"/>
    <w:rsid w:val="00E9472F"/>
    <w:rsid w:val="00E95543"/>
    <w:rsid w:val="00EA013C"/>
    <w:rsid w:val="00EA4E19"/>
    <w:rsid w:val="00EB03A9"/>
    <w:rsid w:val="00EB0854"/>
    <w:rsid w:val="00EB33DD"/>
    <w:rsid w:val="00EB4724"/>
    <w:rsid w:val="00EB4C3F"/>
    <w:rsid w:val="00EB55D8"/>
    <w:rsid w:val="00EC23B8"/>
    <w:rsid w:val="00EC49F2"/>
    <w:rsid w:val="00EC50BF"/>
    <w:rsid w:val="00ED30C3"/>
    <w:rsid w:val="00ED72A9"/>
    <w:rsid w:val="00EE42BB"/>
    <w:rsid w:val="00EF1841"/>
    <w:rsid w:val="00F03E44"/>
    <w:rsid w:val="00F1002A"/>
    <w:rsid w:val="00F115F5"/>
    <w:rsid w:val="00F20281"/>
    <w:rsid w:val="00F30213"/>
    <w:rsid w:val="00F32593"/>
    <w:rsid w:val="00F37DB7"/>
    <w:rsid w:val="00F53E29"/>
    <w:rsid w:val="00F53F92"/>
    <w:rsid w:val="00F63296"/>
    <w:rsid w:val="00F669CF"/>
    <w:rsid w:val="00F729C2"/>
    <w:rsid w:val="00F83BAE"/>
    <w:rsid w:val="00F97D59"/>
    <w:rsid w:val="00F97D95"/>
    <w:rsid w:val="00FA29BF"/>
    <w:rsid w:val="00FA3F64"/>
    <w:rsid w:val="00FA741C"/>
    <w:rsid w:val="00FB611A"/>
    <w:rsid w:val="00FC303F"/>
    <w:rsid w:val="00FD0BC5"/>
    <w:rsid w:val="00FD22FC"/>
    <w:rsid w:val="00FE78DC"/>
    <w:rsid w:val="00FF0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70DE2"/>
  </w:style>
  <w:style w:type="paragraph" w:styleId="berschrift1">
    <w:name w:val="heading 1"/>
    <w:basedOn w:val="Standard"/>
    <w:next w:val="Standard"/>
    <w:qFormat/>
    <w:pPr>
      <w:spacing w:before="240"/>
      <w:outlineLvl w:val="0"/>
    </w:pPr>
    <w:rPr>
      <w:rFonts w:ascii="Helvetica" w:hAnsi="Helvetica"/>
      <w:b/>
      <w:sz w:val="24"/>
      <w:u w:val="single"/>
    </w:rPr>
  </w:style>
  <w:style w:type="paragraph" w:styleId="berschrift2">
    <w:name w:val="heading 2"/>
    <w:basedOn w:val="Standard"/>
    <w:next w:val="Standard"/>
    <w:qFormat/>
    <w:pPr>
      <w:spacing w:before="120"/>
      <w:outlineLvl w:val="1"/>
    </w:pPr>
    <w:rPr>
      <w:rFonts w:ascii="Helvetica" w:hAnsi="Helvetica"/>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9"/>
      <w:outlineLvl w:val="4"/>
    </w:pPr>
    <w:rPr>
      <w:b/>
    </w:rPr>
  </w:style>
  <w:style w:type="paragraph" w:styleId="berschrift6">
    <w:name w:val="heading 6"/>
    <w:basedOn w:val="Standard"/>
    <w:next w:val="Standardeinzug"/>
    <w:qFormat/>
    <w:pPr>
      <w:ind w:left="709"/>
      <w:outlineLvl w:val="5"/>
    </w:pPr>
    <w:rPr>
      <w:u w:val="single"/>
    </w:rPr>
  </w:style>
  <w:style w:type="paragraph" w:styleId="berschrift7">
    <w:name w:val="heading 7"/>
    <w:basedOn w:val="Standard"/>
    <w:next w:val="Standardeinzug"/>
    <w:qFormat/>
    <w:pPr>
      <w:ind w:left="709"/>
      <w:outlineLvl w:val="6"/>
    </w:pPr>
    <w:rPr>
      <w:i/>
    </w:rPr>
  </w:style>
  <w:style w:type="paragraph" w:styleId="berschrift8">
    <w:name w:val="heading 8"/>
    <w:basedOn w:val="Standard"/>
    <w:next w:val="Standardeinzug"/>
    <w:qFormat/>
    <w:pPr>
      <w:ind w:left="709"/>
      <w:outlineLvl w:val="7"/>
    </w:pPr>
    <w:rPr>
      <w:i/>
    </w:rPr>
  </w:style>
  <w:style w:type="paragraph" w:styleId="berschrift9">
    <w:name w:val="heading 9"/>
    <w:basedOn w:val="Standard"/>
    <w:next w:val="Standardeinzug"/>
    <w:qFormat/>
    <w:pPr>
      <w:ind w:left="709"/>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9"/>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paragraph" w:customStyle="1" w:styleId="Text">
    <w:name w:val="Text"/>
    <w:basedOn w:val="Standard"/>
    <w:rPr>
      <w:sz w:val="24"/>
    </w:rPr>
  </w:style>
  <w:style w:type="character" w:styleId="Seitenzahl">
    <w:name w:val="page number"/>
    <w:basedOn w:val="Absatz-Standardschriftart"/>
  </w:style>
  <w:style w:type="paragraph" w:customStyle="1" w:styleId="randl">
    <w:name w:val="randl"/>
    <w:basedOn w:val="Standard"/>
    <w:next w:val="Standard"/>
    <w:pPr>
      <w:framePr w:w="1701" w:hSpace="142" w:vSpace="142" w:wrap="around" w:vAnchor="text" w:hAnchor="page" w:x="1135" w:y="1"/>
    </w:pPr>
    <w:rPr>
      <w:rFonts w:ascii="Times New Roman" w:hAnsi="Times New Roman"/>
      <w:i/>
    </w:rPr>
  </w:style>
  <w:style w:type="paragraph" w:customStyle="1" w:styleId="Randr">
    <w:name w:val="Randr"/>
    <w:basedOn w:val="Standard"/>
    <w:pPr>
      <w:framePr w:w="1701" w:hSpace="142" w:vSpace="142" w:wrap="around" w:vAnchor="text" w:hAnchor="page" w:x="9357" w:y="1"/>
    </w:pPr>
    <w:rPr>
      <w:rFonts w:ascii="Times New Roman" w:hAnsi="Times New Roman"/>
      <w:i/>
    </w:rPr>
  </w:style>
  <w:style w:type="paragraph" w:styleId="Textkrper3">
    <w:name w:val="Body Text 3"/>
    <w:basedOn w:val="Standard"/>
    <w:pPr>
      <w:spacing w:line="360" w:lineRule="atLeast"/>
    </w:pPr>
    <w:rPr>
      <w:rFonts w:ascii="Times New Roman" w:hAnsi="Times New Roman"/>
      <w:sz w:val="28"/>
    </w:rPr>
  </w:style>
  <w:style w:type="paragraph" w:styleId="Textkrper2">
    <w:name w:val="Body Text 2"/>
    <w:basedOn w:val="Standard"/>
    <w:pPr>
      <w:spacing w:line="360" w:lineRule="atLeast"/>
    </w:pPr>
    <w:rPr>
      <w:rFonts w:ascii="Times New Roman" w:hAnsi="Times New Roman"/>
      <w:b/>
      <w:sz w:val="28"/>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center"/>
    </w:pPr>
    <w:rPr>
      <w:rFonts w:ascii="Times New Roman" w:hAnsi="Times New Roman"/>
    </w:rPr>
  </w:style>
  <w:style w:type="paragraph" w:styleId="Textkrper-Zeileneinzug">
    <w:name w:val="Body Text Indent"/>
    <w:basedOn w:val="Standard"/>
    <w:link w:val="Textkrper-ZeileneinzugZchn"/>
    <w:pPr>
      <w:ind w:left="284" w:hanging="284"/>
      <w:jc w:val="both"/>
    </w:pPr>
    <w:rPr>
      <w:rFonts w:ascii="Times New Roman" w:hAnsi="Times New Roman"/>
    </w:rPr>
  </w:style>
  <w:style w:type="paragraph" w:styleId="Beschriftung">
    <w:name w:val="caption"/>
    <w:basedOn w:val="Standard"/>
    <w:next w:val="Standard"/>
    <w:qFormat/>
    <w:pPr>
      <w:spacing w:line="360" w:lineRule="exact"/>
      <w:jc w:val="both"/>
    </w:pPr>
    <w:rPr>
      <w:rFonts w:ascii="Times New Roman" w:hAnsi="Times New Roman"/>
      <w:b/>
      <w:sz w:val="24"/>
    </w:rPr>
  </w:style>
  <w:style w:type="paragraph" w:styleId="Textkrper-Einzug2">
    <w:name w:val="Body Text Indent 2"/>
    <w:basedOn w:val="Standard"/>
    <w:pPr>
      <w:ind w:left="284" w:hanging="284"/>
      <w:jc w:val="both"/>
    </w:pPr>
    <w:rPr>
      <w:rFonts w:ascii="Times New Roman" w:hAnsi="Times New Roman"/>
      <w:sz w:val="24"/>
    </w:rPr>
  </w:style>
  <w:style w:type="character" w:styleId="Hyperlink">
    <w:name w:val="Hyperlink"/>
    <w:basedOn w:val="Absatz-Standardschriftart"/>
    <w:rsid w:val="00E464A1"/>
    <w:rPr>
      <w:color w:val="0000FF"/>
      <w:u w:val="single"/>
    </w:rPr>
  </w:style>
  <w:style w:type="paragraph" w:styleId="Sprechblasentext">
    <w:name w:val="Balloon Text"/>
    <w:basedOn w:val="Standard"/>
    <w:link w:val="SprechblasentextZchn"/>
    <w:rsid w:val="00246CE0"/>
    <w:rPr>
      <w:rFonts w:ascii="Tahoma" w:hAnsi="Tahoma" w:cs="Tahoma"/>
      <w:sz w:val="16"/>
      <w:szCs w:val="16"/>
    </w:rPr>
  </w:style>
  <w:style w:type="character" w:customStyle="1" w:styleId="SprechblasentextZchn">
    <w:name w:val="Sprechblasentext Zchn"/>
    <w:basedOn w:val="Absatz-Standardschriftart"/>
    <w:link w:val="Sprechblasentext"/>
    <w:rsid w:val="00246CE0"/>
    <w:rPr>
      <w:rFonts w:ascii="Tahoma" w:hAnsi="Tahoma" w:cs="Tahoma"/>
      <w:sz w:val="16"/>
      <w:szCs w:val="16"/>
    </w:rPr>
  </w:style>
  <w:style w:type="paragraph" w:styleId="Listenabsatz">
    <w:name w:val="List Paragraph"/>
    <w:basedOn w:val="Standard"/>
    <w:uiPriority w:val="34"/>
    <w:qFormat/>
    <w:rsid w:val="00993DA9"/>
    <w:pPr>
      <w:ind w:left="720"/>
      <w:contextualSpacing/>
    </w:pPr>
  </w:style>
  <w:style w:type="paragraph" w:customStyle="1" w:styleId="AbbTabberschrift">
    <w:name w:val="Abb/Tab Überschrift"/>
    <w:basedOn w:val="Standard"/>
    <w:next w:val="AbbTabUnterberschrift"/>
    <w:rsid w:val="00A92F1F"/>
    <w:pPr>
      <w:keepNext/>
      <w:spacing w:before="120" w:line="340" w:lineRule="exact"/>
      <w:jc w:val="center"/>
    </w:pPr>
    <w:rPr>
      <w:rFonts w:ascii="Arial" w:hAnsi="Arial"/>
      <w:b/>
      <w:bCs/>
      <w:color w:val="005085"/>
      <w:sz w:val="24"/>
    </w:rPr>
  </w:style>
  <w:style w:type="paragraph" w:customStyle="1" w:styleId="AbbTabUnterberschrift">
    <w:name w:val="Abb/Tab Unterüberschrift"/>
    <w:basedOn w:val="AbbTabberschrift"/>
    <w:rsid w:val="00A92F1F"/>
    <w:pPr>
      <w:spacing w:before="60" w:after="120"/>
    </w:pPr>
    <w:rPr>
      <w:b w:val="0"/>
    </w:rPr>
  </w:style>
  <w:style w:type="table" w:styleId="Tabellenraster">
    <w:name w:val="Table Grid"/>
    <w:basedOn w:val="NormaleTabelle"/>
    <w:rsid w:val="00A92F1F"/>
    <w:pPr>
      <w:spacing w:after="240" w:line="340" w:lineRule="exac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noteAbbildungTabelle">
    <w:name w:val="Fußnote Abbildung/Tabelle"/>
    <w:basedOn w:val="Standard"/>
    <w:next w:val="Standard"/>
    <w:rsid w:val="005A104D"/>
    <w:pPr>
      <w:spacing w:before="240" w:after="240" w:line="340" w:lineRule="exact"/>
    </w:pPr>
    <w:rPr>
      <w:rFonts w:ascii="Arial" w:hAnsi="Arial"/>
      <w:color w:val="005085"/>
      <w:szCs w:val="22"/>
    </w:rPr>
  </w:style>
  <w:style w:type="character" w:customStyle="1" w:styleId="Textkrper-ZeileneinzugZchn">
    <w:name w:val="Textkörper-Zeileneinzug Zchn"/>
    <w:basedOn w:val="Absatz-Standardschriftart"/>
    <w:link w:val="Textkrper-Zeileneinzug"/>
    <w:rsid w:val="00E870E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70DE2"/>
  </w:style>
  <w:style w:type="paragraph" w:styleId="berschrift1">
    <w:name w:val="heading 1"/>
    <w:basedOn w:val="Standard"/>
    <w:next w:val="Standard"/>
    <w:qFormat/>
    <w:pPr>
      <w:spacing w:before="240"/>
      <w:outlineLvl w:val="0"/>
    </w:pPr>
    <w:rPr>
      <w:rFonts w:ascii="Helvetica" w:hAnsi="Helvetica"/>
      <w:b/>
      <w:sz w:val="24"/>
      <w:u w:val="single"/>
    </w:rPr>
  </w:style>
  <w:style w:type="paragraph" w:styleId="berschrift2">
    <w:name w:val="heading 2"/>
    <w:basedOn w:val="Standard"/>
    <w:next w:val="Standard"/>
    <w:qFormat/>
    <w:pPr>
      <w:spacing w:before="120"/>
      <w:outlineLvl w:val="1"/>
    </w:pPr>
    <w:rPr>
      <w:rFonts w:ascii="Helvetica" w:hAnsi="Helvetica"/>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9"/>
      <w:outlineLvl w:val="4"/>
    </w:pPr>
    <w:rPr>
      <w:b/>
    </w:rPr>
  </w:style>
  <w:style w:type="paragraph" w:styleId="berschrift6">
    <w:name w:val="heading 6"/>
    <w:basedOn w:val="Standard"/>
    <w:next w:val="Standardeinzug"/>
    <w:qFormat/>
    <w:pPr>
      <w:ind w:left="709"/>
      <w:outlineLvl w:val="5"/>
    </w:pPr>
    <w:rPr>
      <w:u w:val="single"/>
    </w:rPr>
  </w:style>
  <w:style w:type="paragraph" w:styleId="berschrift7">
    <w:name w:val="heading 7"/>
    <w:basedOn w:val="Standard"/>
    <w:next w:val="Standardeinzug"/>
    <w:qFormat/>
    <w:pPr>
      <w:ind w:left="709"/>
      <w:outlineLvl w:val="6"/>
    </w:pPr>
    <w:rPr>
      <w:i/>
    </w:rPr>
  </w:style>
  <w:style w:type="paragraph" w:styleId="berschrift8">
    <w:name w:val="heading 8"/>
    <w:basedOn w:val="Standard"/>
    <w:next w:val="Standardeinzug"/>
    <w:qFormat/>
    <w:pPr>
      <w:ind w:left="709"/>
      <w:outlineLvl w:val="7"/>
    </w:pPr>
    <w:rPr>
      <w:i/>
    </w:rPr>
  </w:style>
  <w:style w:type="paragraph" w:styleId="berschrift9">
    <w:name w:val="heading 9"/>
    <w:basedOn w:val="Standard"/>
    <w:next w:val="Standardeinzug"/>
    <w:qFormat/>
    <w:pPr>
      <w:ind w:left="709"/>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9"/>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paragraph" w:customStyle="1" w:styleId="Text">
    <w:name w:val="Text"/>
    <w:basedOn w:val="Standard"/>
    <w:rPr>
      <w:sz w:val="24"/>
    </w:rPr>
  </w:style>
  <w:style w:type="character" w:styleId="Seitenzahl">
    <w:name w:val="page number"/>
    <w:basedOn w:val="Absatz-Standardschriftart"/>
  </w:style>
  <w:style w:type="paragraph" w:customStyle="1" w:styleId="randl">
    <w:name w:val="randl"/>
    <w:basedOn w:val="Standard"/>
    <w:next w:val="Standard"/>
    <w:pPr>
      <w:framePr w:w="1701" w:hSpace="142" w:vSpace="142" w:wrap="around" w:vAnchor="text" w:hAnchor="page" w:x="1135" w:y="1"/>
    </w:pPr>
    <w:rPr>
      <w:rFonts w:ascii="Times New Roman" w:hAnsi="Times New Roman"/>
      <w:i/>
    </w:rPr>
  </w:style>
  <w:style w:type="paragraph" w:customStyle="1" w:styleId="Randr">
    <w:name w:val="Randr"/>
    <w:basedOn w:val="Standard"/>
    <w:pPr>
      <w:framePr w:w="1701" w:hSpace="142" w:vSpace="142" w:wrap="around" w:vAnchor="text" w:hAnchor="page" w:x="9357" w:y="1"/>
    </w:pPr>
    <w:rPr>
      <w:rFonts w:ascii="Times New Roman" w:hAnsi="Times New Roman"/>
      <w:i/>
    </w:rPr>
  </w:style>
  <w:style w:type="paragraph" w:styleId="Textkrper3">
    <w:name w:val="Body Text 3"/>
    <w:basedOn w:val="Standard"/>
    <w:pPr>
      <w:spacing w:line="360" w:lineRule="atLeast"/>
    </w:pPr>
    <w:rPr>
      <w:rFonts w:ascii="Times New Roman" w:hAnsi="Times New Roman"/>
      <w:sz w:val="28"/>
    </w:rPr>
  </w:style>
  <w:style w:type="paragraph" w:styleId="Textkrper2">
    <w:name w:val="Body Text 2"/>
    <w:basedOn w:val="Standard"/>
    <w:pPr>
      <w:spacing w:line="360" w:lineRule="atLeast"/>
    </w:pPr>
    <w:rPr>
      <w:rFonts w:ascii="Times New Roman" w:hAnsi="Times New Roman"/>
      <w:b/>
      <w:sz w:val="28"/>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center"/>
    </w:pPr>
    <w:rPr>
      <w:rFonts w:ascii="Times New Roman" w:hAnsi="Times New Roman"/>
    </w:rPr>
  </w:style>
  <w:style w:type="paragraph" w:styleId="Textkrper-Zeileneinzug">
    <w:name w:val="Body Text Indent"/>
    <w:basedOn w:val="Standard"/>
    <w:link w:val="Textkrper-ZeileneinzugZchn"/>
    <w:pPr>
      <w:ind w:left="284" w:hanging="284"/>
      <w:jc w:val="both"/>
    </w:pPr>
    <w:rPr>
      <w:rFonts w:ascii="Times New Roman" w:hAnsi="Times New Roman"/>
    </w:rPr>
  </w:style>
  <w:style w:type="paragraph" w:styleId="Beschriftung">
    <w:name w:val="caption"/>
    <w:basedOn w:val="Standard"/>
    <w:next w:val="Standard"/>
    <w:qFormat/>
    <w:pPr>
      <w:spacing w:line="360" w:lineRule="exact"/>
      <w:jc w:val="both"/>
    </w:pPr>
    <w:rPr>
      <w:rFonts w:ascii="Times New Roman" w:hAnsi="Times New Roman"/>
      <w:b/>
      <w:sz w:val="24"/>
    </w:rPr>
  </w:style>
  <w:style w:type="paragraph" w:styleId="Textkrper-Einzug2">
    <w:name w:val="Body Text Indent 2"/>
    <w:basedOn w:val="Standard"/>
    <w:pPr>
      <w:ind w:left="284" w:hanging="284"/>
      <w:jc w:val="both"/>
    </w:pPr>
    <w:rPr>
      <w:rFonts w:ascii="Times New Roman" w:hAnsi="Times New Roman"/>
      <w:sz w:val="24"/>
    </w:rPr>
  </w:style>
  <w:style w:type="character" w:styleId="Hyperlink">
    <w:name w:val="Hyperlink"/>
    <w:basedOn w:val="Absatz-Standardschriftart"/>
    <w:rsid w:val="00E464A1"/>
    <w:rPr>
      <w:color w:val="0000FF"/>
      <w:u w:val="single"/>
    </w:rPr>
  </w:style>
  <w:style w:type="paragraph" w:styleId="Sprechblasentext">
    <w:name w:val="Balloon Text"/>
    <w:basedOn w:val="Standard"/>
    <w:link w:val="SprechblasentextZchn"/>
    <w:rsid w:val="00246CE0"/>
    <w:rPr>
      <w:rFonts w:ascii="Tahoma" w:hAnsi="Tahoma" w:cs="Tahoma"/>
      <w:sz w:val="16"/>
      <w:szCs w:val="16"/>
    </w:rPr>
  </w:style>
  <w:style w:type="character" w:customStyle="1" w:styleId="SprechblasentextZchn">
    <w:name w:val="Sprechblasentext Zchn"/>
    <w:basedOn w:val="Absatz-Standardschriftart"/>
    <w:link w:val="Sprechblasentext"/>
    <w:rsid w:val="00246CE0"/>
    <w:rPr>
      <w:rFonts w:ascii="Tahoma" w:hAnsi="Tahoma" w:cs="Tahoma"/>
      <w:sz w:val="16"/>
      <w:szCs w:val="16"/>
    </w:rPr>
  </w:style>
  <w:style w:type="paragraph" w:styleId="Listenabsatz">
    <w:name w:val="List Paragraph"/>
    <w:basedOn w:val="Standard"/>
    <w:uiPriority w:val="34"/>
    <w:qFormat/>
    <w:rsid w:val="00993DA9"/>
    <w:pPr>
      <w:ind w:left="720"/>
      <w:contextualSpacing/>
    </w:pPr>
  </w:style>
  <w:style w:type="paragraph" w:customStyle="1" w:styleId="AbbTabberschrift">
    <w:name w:val="Abb/Tab Überschrift"/>
    <w:basedOn w:val="Standard"/>
    <w:next w:val="AbbTabUnterberschrift"/>
    <w:rsid w:val="00A92F1F"/>
    <w:pPr>
      <w:keepNext/>
      <w:spacing w:before="120" w:line="340" w:lineRule="exact"/>
      <w:jc w:val="center"/>
    </w:pPr>
    <w:rPr>
      <w:rFonts w:ascii="Arial" w:hAnsi="Arial"/>
      <w:b/>
      <w:bCs/>
      <w:color w:val="005085"/>
      <w:sz w:val="24"/>
    </w:rPr>
  </w:style>
  <w:style w:type="paragraph" w:customStyle="1" w:styleId="AbbTabUnterberschrift">
    <w:name w:val="Abb/Tab Unterüberschrift"/>
    <w:basedOn w:val="AbbTabberschrift"/>
    <w:rsid w:val="00A92F1F"/>
    <w:pPr>
      <w:spacing w:before="60" w:after="120"/>
    </w:pPr>
    <w:rPr>
      <w:b w:val="0"/>
    </w:rPr>
  </w:style>
  <w:style w:type="table" w:styleId="Tabellenraster">
    <w:name w:val="Table Grid"/>
    <w:basedOn w:val="NormaleTabelle"/>
    <w:rsid w:val="00A92F1F"/>
    <w:pPr>
      <w:spacing w:after="240" w:line="340" w:lineRule="exac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noteAbbildungTabelle">
    <w:name w:val="Fußnote Abbildung/Tabelle"/>
    <w:basedOn w:val="Standard"/>
    <w:next w:val="Standard"/>
    <w:rsid w:val="005A104D"/>
    <w:pPr>
      <w:spacing w:before="240" w:after="240" w:line="340" w:lineRule="exact"/>
    </w:pPr>
    <w:rPr>
      <w:rFonts w:ascii="Arial" w:hAnsi="Arial"/>
      <w:color w:val="005085"/>
      <w:szCs w:val="22"/>
    </w:rPr>
  </w:style>
  <w:style w:type="character" w:customStyle="1" w:styleId="Textkrper-ZeileneinzugZchn">
    <w:name w:val="Textkörper-Zeileneinzug Zchn"/>
    <w:basedOn w:val="Absatz-Standardschriftart"/>
    <w:link w:val="Textkrper-Zeileneinzug"/>
    <w:rsid w:val="00E870E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oleObject9.bin"/><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J:\ZentraleVorlagen\Manuskripte\iw-Trend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C080-688F-4F35-A862-85280DB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iw-Trends.dotx</Template>
  <TotalTime>0</TotalTime>
  <Pages>8</Pages>
  <Words>5626</Words>
  <Characters>35451</Characters>
  <Application>Microsoft Office Word</Application>
  <DocSecurity>0</DocSecurity>
  <Lines>295</Lines>
  <Paragraphs>81</Paragraphs>
  <ScaleCrop>false</ScaleCrop>
  <HeadingPairs>
    <vt:vector size="2" baseType="variant">
      <vt:variant>
        <vt:lpstr>Titel</vt:lpstr>
      </vt:variant>
      <vt:variant>
        <vt:i4>1</vt:i4>
      </vt:variant>
    </vt:vector>
  </HeadingPairs>
  <TitlesOfParts>
    <vt:vector size="1" baseType="lpstr">
      <vt:lpstr>IW Trends</vt:lpstr>
    </vt:vector>
  </TitlesOfParts>
  <Company>Institut der deutschen Wirtschaft Köln</Company>
  <LinksUpToDate>false</LinksUpToDate>
  <CharactersWithSpaces>40996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 Trends</dc:title>
  <dc:creator>Hanno Kempermann</dc:creator>
  <cp:lastModifiedBy>Hanno Kempermann</cp:lastModifiedBy>
  <cp:revision>66</cp:revision>
  <cp:lastPrinted>2012-05-08T12:31:00Z</cp:lastPrinted>
  <dcterms:created xsi:type="dcterms:W3CDTF">2012-01-09T06:45:00Z</dcterms:created>
  <dcterms:modified xsi:type="dcterms:W3CDTF">2012-05-08T12:31:00Z</dcterms:modified>
</cp:coreProperties>
</file>